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A72DE" w14:textId="5B5711C6" w:rsidR="00405BD3" w:rsidRPr="00B46ACB" w:rsidRDefault="00405BD3" w:rsidP="00B63741">
      <w:pPr>
        <w:spacing w:after="0" w:line="240" w:lineRule="auto"/>
        <w:jc w:val="center"/>
        <w:rPr>
          <w:b/>
          <w:bCs/>
          <w:color w:val="404040" w:themeColor="text1" w:themeTint="BF"/>
        </w:rPr>
      </w:pPr>
      <w:r w:rsidRPr="00B46ACB">
        <w:rPr>
          <w:rFonts w:ascii="Calibri" w:hAnsi="Calibri"/>
          <w:b/>
          <w:bCs/>
          <w:color w:val="404040" w:themeColor="text1" w:themeTint="BF"/>
          <w:sz w:val="32"/>
          <w:szCs w:val="32"/>
        </w:rPr>
        <w:t xml:space="preserve">Programme de soutien financier aux étudiants </w:t>
      </w:r>
      <w:r w:rsidR="00621917" w:rsidRPr="00B46ACB">
        <w:rPr>
          <w:rFonts w:ascii="Calibri" w:hAnsi="Calibri"/>
          <w:b/>
          <w:bCs/>
          <w:color w:val="404040" w:themeColor="text1" w:themeTint="BF"/>
          <w:sz w:val="32"/>
          <w:szCs w:val="32"/>
        </w:rPr>
        <w:t>universitaires des cycles supérieurs</w:t>
      </w:r>
      <w:r w:rsidR="00E47A5C">
        <w:rPr>
          <w:rFonts w:ascii="Calibri" w:hAnsi="Calibri"/>
          <w:b/>
          <w:bCs/>
          <w:color w:val="404040" w:themeColor="text1" w:themeTint="BF"/>
          <w:sz w:val="32"/>
          <w:szCs w:val="32"/>
        </w:rPr>
        <w:t xml:space="preserve"> issus des Premières Nations, Métis ou Inuit</w:t>
      </w:r>
      <w:r w:rsidR="00313333" w:rsidRPr="00B46ACB" w:rsidDel="00313333">
        <w:rPr>
          <w:rFonts w:ascii="Calibri" w:hAnsi="Calibri"/>
          <w:b/>
          <w:bCs/>
          <w:color w:val="404040" w:themeColor="text1" w:themeTint="BF"/>
          <w:sz w:val="32"/>
          <w:szCs w:val="32"/>
        </w:rPr>
        <w:t xml:space="preserve"> </w:t>
      </w:r>
    </w:p>
    <w:p w14:paraId="7F0C590F" w14:textId="3AD6381B" w:rsidR="00446538" w:rsidRDefault="00446538" w:rsidP="00405BD3">
      <w:pPr>
        <w:rPr>
          <w:i/>
          <w:color w:val="808080" w:themeColor="background1" w:themeShade="80"/>
          <w:sz w:val="18"/>
          <w:szCs w:val="18"/>
        </w:rPr>
      </w:pPr>
    </w:p>
    <w:p w14:paraId="0D5E1C49" w14:textId="77777777" w:rsidR="00446538" w:rsidRPr="007A6730" w:rsidRDefault="00446538" w:rsidP="00405BD3">
      <w:pPr>
        <w:rPr>
          <w:i/>
          <w:color w:val="808080" w:themeColor="background1" w:themeShade="80"/>
          <w:sz w:val="18"/>
          <w:szCs w:val="18"/>
        </w:rPr>
      </w:pPr>
    </w:p>
    <w:p w14:paraId="1D34121C" w14:textId="7C1AAE70" w:rsidR="00405BD3" w:rsidRPr="002E0AB4" w:rsidRDefault="00405BD3" w:rsidP="000550E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L’équipe</w:t>
      </w:r>
      <w:r w:rsidR="00295FDB" w:rsidRPr="002E0AB4">
        <w:rPr>
          <w:rFonts w:ascii="Times New Roman" w:hAnsi="Times New Roman" w:cs="Times New Roman"/>
          <w:color w:val="262626" w:themeColor="text1" w:themeTint="D9"/>
          <w:sz w:val="24"/>
          <w:szCs w:val="24"/>
        </w:rPr>
        <w:t xml:space="preserve"> de recherche de l’Observatoire interdisciplinaire, inter-universitaire et intersectorielle en justice et santé mentale </w:t>
      </w:r>
      <w:r w:rsidRPr="002E0AB4">
        <w:rPr>
          <w:rFonts w:ascii="Times New Roman" w:hAnsi="Times New Roman" w:cs="Times New Roman"/>
          <w:color w:val="262626" w:themeColor="text1" w:themeTint="D9"/>
          <w:sz w:val="24"/>
          <w:szCs w:val="24"/>
        </w:rPr>
        <w:t xml:space="preserve">est un regroupement de chercheurs, collaborateurs et partenaires de différents milieux </w:t>
      </w:r>
      <w:r w:rsidR="00B63741" w:rsidRPr="002E0AB4">
        <w:rPr>
          <w:rFonts w:ascii="Times New Roman" w:hAnsi="Times New Roman" w:cs="Times New Roman"/>
          <w:color w:val="262626" w:themeColor="text1" w:themeTint="D9"/>
          <w:sz w:val="24"/>
          <w:szCs w:val="24"/>
        </w:rPr>
        <w:t>œuvrant</w:t>
      </w:r>
      <w:r w:rsidRPr="002E0AB4">
        <w:rPr>
          <w:rFonts w:ascii="Times New Roman" w:hAnsi="Times New Roman" w:cs="Times New Roman"/>
          <w:color w:val="262626" w:themeColor="text1" w:themeTint="D9"/>
          <w:sz w:val="24"/>
          <w:szCs w:val="24"/>
        </w:rPr>
        <w:t xml:space="preserve"> </w:t>
      </w:r>
      <w:r w:rsidR="00407BC3" w:rsidRPr="002E0AB4">
        <w:rPr>
          <w:rFonts w:ascii="Times New Roman" w:hAnsi="Times New Roman" w:cs="Times New Roman"/>
          <w:color w:val="262626" w:themeColor="text1" w:themeTint="D9"/>
          <w:sz w:val="24"/>
          <w:szCs w:val="24"/>
        </w:rPr>
        <w:t xml:space="preserve">à l’interface entre les systèmes de la santé mentale, de la justice, de la sécurité publique et des milieux communautaires. </w:t>
      </w:r>
      <w:r w:rsidR="00D4394A" w:rsidRPr="002E0AB4">
        <w:rPr>
          <w:rFonts w:ascii="Times New Roman" w:hAnsi="Times New Roman" w:cs="Times New Roman"/>
          <w:color w:val="262626" w:themeColor="text1" w:themeTint="D9"/>
          <w:sz w:val="24"/>
          <w:szCs w:val="24"/>
        </w:rPr>
        <w:t xml:space="preserve">L’Observatoire vise à faciliter la production et la diffusion des connaissances issues de la recherche sur les populations ayant des troubles mentaux et étant en contact avec le système de justice civile et pénale. </w:t>
      </w:r>
    </w:p>
    <w:p w14:paraId="71A78380" w14:textId="77777777" w:rsidR="00C73DFC" w:rsidRPr="002E0AB4" w:rsidRDefault="00405BD3" w:rsidP="000550E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Suivant son engagement, </w:t>
      </w:r>
      <w:r w:rsidR="00621917" w:rsidRPr="002E0AB4">
        <w:rPr>
          <w:rFonts w:ascii="Times New Roman" w:hAnsi="Times New Roman" w:cs="Times New Roman"/>
          <w:color w:val="262626" w:themeColor="text1" w:themeTint="D9"/>
          <w:sz w:val="24"/>
          <w:szCs w:val="24"/>
        </w:rPr>
        <w:t>l’Observatoire</w:t>
      </w:r>
      <w:r w:rsidRPr="002E0AB4">
        <w:rPr>
          <w:rFonts w:ascii="Times New Roman" w:hAnsi="Times New Roman" w:cs="Times New Roman"/>
          <w:color w:val="262626" w:themeColor="text1" w:themeTint="D9"/>
          <w:sz w:val="24"/>
          <w:szCs w:val="24"/>
        </w:rPr>
        <w:t xml:space="preserve"> a mis sur pied un programme de soutien financier </w:t>
      </w:r>
      <w:r w:rsidR="006C3D36" w:rsidRPr="002E0AB4">
        <w:rPr>
          <w:rFonts w:ascii="Times New Roman" w:hAnsi="Times New Roman" w:cs="Times New Roman"/>
          <w:color w:val="262626" w:themeColor="text1" w:themeTint="D9"/>
          <w:sz w:val="24"/>
          <w:szCs w:val="24"/>
        </w:rPr>
        <w:t>pour la relève</w:t>
      </w:r>
      <w:r w:rsidRPr="002E0AB4">
        <w:rPr>
          <w:rFonts w:ascii="Times New Roman" w:hAnsi="Times New Roman" w:cs="Times New Roman"/>
          <w:color w:val="262626" w:themeColor="text1" w:themeTint="D9"/>
          <w:sz w:val="24"/>
          <w:szCs w:val="24"/>
        </w:rPr>
        <w:t xml:space="preserve">. </w:t>
      </w:r>
      <w:r w:rsidR="000C6400" w:rsidRPr="002E0AB4">
        <w:rPr>
          <w:rFonts w:ascii="Times New Roman" w:hAnsi="Times New Roman" w:cs="Times New Roman"/>
          <w:color w:val="262626" w:themeColor="text1" w:themeTint="D9"/>
          <w:sz w:val="24"/>
          <w:szCs w:val="24"/>
        </w:rPr>
        <w:t>E</w:t>
      </w:r>
      <w:r w:rsidRPr="002E0AB4">
        <w:rPr>
          <w:rFonts w:ascii="Times New Roman" w:hAnsi="Times New Roman" w:cs="Times New Roman"/>
          <w:color w:val="262626" w:themeColor="text1" w:themeTint="D9"/>
          <w:sz w:val="24"/>
          <w:szCs w:val="24"/>
        </w:rPr>
        <w:t>n plus de soutenir les étudiants universitaires de cycle</w:t>
      </w:r>
      <w:r w:rsidR="00D4394A" w:rsidRPr="002E0AB4">
        <w:rPr>
          <w:rFonts w:ascii="Times New Roman" w:hAnsi="Times New Roman" w:cs="Times New Roman"/>
          <w:color w:val="262626" w:themeColor="text1" w:themeTint="D9"/>
          <w:sz w:val="24"/>
          <w:szCs w:val="24"/>
        </w:rPr>
        <w:t>s</w:t>
      </w:r>
      <w:r w:rsidRPr="002E0AB4">
        <w:rPr>
          <w:rFonts w:ascii="Times New Roman" w:hAnsi="Times New Roman" w:cs="Times New Roman"/>
          <w:color w:val="262626" w:themeColor="text1" w:themeTint="D9"/>
          <w:sz w:val="24"/>
          <w:szCs w:val="24"/>
        </w:rPr>
        <w:t xml:space="preserve"> </w:t>
      </w:r>
      <w:r w:rsidR="00D4394A" w:rsidRPr="002E0AB4">
        <w:rPr>
          <w:rFonts w:ascii="Times New Roman" w:hAnsi="Times New Roman" w:cs="Times New Roman"/>
          <w:color w:val="262626" w:themeColor="text1" w:themeTint="D9"/>
          <w:sz w:val="24"/>
          <w:szCs w:val="24"/>
        </w:rPr>
        <w:t xml:space="preserve">supérieurs </w:t>
      </w:r>
      <w:r w:rsidRPr="002E0AB4">
        <w:rPr>
          <w:rFonts w:ascii="Times New Roman" w:hAnsi="Times New Roman" w:cs="Times New Roman"/>
          <w:color w:val="262626" w:themeColor="text1" w:themeTint="D9"/>
          <w:sz w:val="24"/>
          <w:szCs w:val="24"/>
        </w:rPr>
        <w:t xml:space="preserve">dans leurs démarches de recherche, </w:t>
      </w:r>
      <w:r w:rsidR="000C6400" w:rsidRPr="002E0AB4">
        <w:rPr>
          <w:rFonts w:ascii="Times New Roman" w:hAnsi="Times New Roman" w:cs="Times New Roman"/>
          <w:color w:val="262626" w:themeColor="text1" w:themeTint="D9"/>
          <w:sz w:val="24"/>
          <w:szCs w:val="24"/>
        </w:rPr>
        <w:t xml:space="preserve">ce programme </w:t>
      </w:r>
      <w:r w:rsidRPr="002E0AB4">
        <w:rPr>
          <w:rFonts w:ascii="Times New Roman" w:hAnsi="Times New Roman" w:cs="Times New Roman"/>
          <w:color w:val="262626" w:themeColor="text1" w:themeTint="D9"/>
          <w:sz w:val="24"/>
          <w:szCs w:val="24"/>
        </w:rPr>
        <w:t>vise à enrichir les perspectives de connaissance et de pratique abordées dans la programmation du regroupement.</w:t>
      </w:r>
      <w:r w:rsidR="003D1283" w:rsidRPr="002E0AB4">
        <w:rPr>
          <w:rFonts w:ascii="Times New Roman" w:hAnsi="Times New Roman" w:cs="Times New Roman"/>
          <w:color w:val="262626" w:themeColor="text1" w:themeTint="D9"/>
          <w:sz w:val="24"/>
          <w:szCs w:val="24"/>
        </w:rPr>
        <w:t xml:space="preserve"> </w:t>
      </w:r>
    </w:p>
    <w:p w14:paraId="3F3CC3E6" w14:textId="5FFADEE0" w:rsidR="005D37EC" w:rsidRDefault="00405BD3" w:rsidP="000550E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Le programme de soutien financier </w:t>
      </w:r>
      <w:r w:rsidR="00B63741">
        <w:rPr>
          <w:rFonts w:ascii="Times New Roman" w:hAnsi="Times New Roman" w:cs="Times New Roman"/>
          <w:color w:val="262626" w:themeColor="text1" w:themeTint="D9"/>
          <w:sz w:val="24"/>
          <w:szCs w:val="24"/>
        </w:rPr>
        <w:t xml:space="preserve">aux étudiants universitaires des cycles supérieurs – Autochtones </w:t>
      </w:r>
      <w:r w:rsidRPr="002E0AB4">
        <w:rPr>
          <w:rFonts w:ascii="Times New Roman" w:hAnsi="Times New Roman" w:cs="Times New Roman"/>
          <w:color w:val="262626" w:themeColor="text1" w:themeTint="D9"/>
          <w:sz w:val="24"/>
          <w:szCs w:val="24"/>
        </w:rPr>
        <w:t xml:space="preserve">est destiné </w:t>
      </w:r>
      <w:r w:rsidR="003D1283" w:rsidRPr="002E0AB4">
        <w:rPr>
          <w:rFonts w:ascii="Times New Roman" w:hAnsi="Times New Roman" w:cs="Times New Roman"/>
          <w:color w:val="262626" w:themeColor="text1" w:themeTint="D9"/>
          <w:sz w:val="24"/>
          <w:szCs w:val="24"/>
        </w:rPr>
        <w:t xml:space="preserve">aux </w:t>
      </w:r>
      <w:r w:rsidRPr="002E0AB4">
        <w:rPr>
          <w:rFonts w:ascii="Times New Roman" w:hAnsi="Times New Roman" w:cs="Times New Roman"/>
          <w:color w:val="262626" w:themeColor="text1" w:themeTint="D9"/>
          <w:sz w:val="24"/>
          <w:szCs w:val="24"/>
        </w:rPr>
        <w:t>étudiant</w:t>
      </w:r>
      <w:r w:rsidR="003D1283" w:rsidRPr="002E0AB4">
        <w:rPr>
          <w:rFonts w:ascii="Times New Roman" w:hAnsi="Times New Roman" w:cs="Times New Roman"/>
          <w:color w:val="262626" w:themeColor="text1" w:themeTint="D9"/>
          <w:sz w:val="24"/>
          <w:szCs w:val="24"/>
        </w:rPr>
        <w:t>s</w:t>
      </w:r>
      <w:r w:rsidR="004C0224">
        <w:rPr>
          <w:rFonts w:ascii="Times New Roman" w:hAnsi="Times New Roman" w:cs="Times New Roman"/>
          <w:color w:val="262626" w:themeColor="text1" w:themeTint="D9"/>
          <w:sz w:val="24"/>
          <w:szCs w:val="24"/>
        </w:rPr>
        <w:t xml:space="preserve"> </w:t>
      </w:r>
      <w:r w:rsidR="00E47A5C">
        <w:rPr>
          <w:rFonts w:ascii="Times New Roman" w:hAnsi="Times New Roman" w:cs="Times New Roman"/>
          <w:color w:val="262626" w:themeColor="text1" w:themeTint="D9"/>
          <w:sz w:val="24"/>
          <w:szCs w:val="24"/>
        </w:rPr>
        <w:t xml:space="preserve">issus des Premières Nations, Métis ou </w:t>
      </w:r>
      <w:r w:rsidR="005B2C8C">
        <w:rPr>
          <w:rFonts w:ascii="Times New Roman" w:hAnsi="Times New Roman" w:cs="Times New Roman"/>
          <w:color w:val="262626" w:themeColor="text1" w:themeTint="D9"/>
          <w:sz w:val="24"/>
          <w:szCs w:val="24"/>
        </w:rPr>
        <w:t>Inuit</w:t>
      </w:r>
      <w:r w:rsidR="005B2C8C" w:rsidRPr="002E0AB4">
        <w:rPr>
          <w:rFonts w:ascii="Times New Roman" w:hAnsi="Times New Roman" w:cs="Times New Roman"/>
          <w:color w:val="262626" w:themeColor="text1" w:themeTint="D9"/>
          <w:sz w:val="24"/>
          <w:szCs w:val="24"/>
        </w:rPr>
        <w:t>s inscrits</w:t>
      </w:r>
      <w:r w:rsidRPr="002E0AB4">
        <w:rPr>
          <w:rFonts w:ascii="Times New Roman" w:hAnsi="Times New Roman" w:cs="Times New Roman"/>
          <w:color w:val="262626" w:themeColor="text1" w:themeTint="D9"/>
          <w:sz w:val="24"/>
          <w:szCs w:val="24"/>
        </w:rPr>
        <w:t xml:space="preserve"> </w:t>
      </w:r>
      <w:r w:rsidR="003D1283" w:rsidRPr="002E0AB4">
        <w:rPr>
          <w:rFonts w:ascii="Times New Roman" w:hAnsi="Times New Roman" w:cs="Times New Roman"/>
          <w:color w:val="262626" w:themeColor="text1" w:themeTint="D9"/>
          <w:sz w:val="24"/>
          <w:szCs w:val="24"/>
        </w:rPr>
        <w:t xml:space="preserve">à temps plein </w:t>
      </w:r>
      <w:r w:rsidR="00CD544B" w:rsidRPr="002E0AB4">
        <w:rPr>
          <w:rFonts w:ascii="Times New Roman" w:hAnsi="Times New Roman" w:cs="Times New Roman"/>
          <w:color w:val="262626" w:themeColor="text1" w:themeTint="D9"/>
          <w:sz w:val="24"/>
          <w:szCs w:val="24"/>
        </w:rPr>
        <w:t xml:space="preserve">aux études supérieures </w:t>
      </w:r>
      <w:r w:rsidR="005D7A4D" w:rsidRPr="002E0AB4">
        <w:rPr>
          <w:rFonts w:ascii="Times New Roman" w:hAnsi="Times New Roman" w:cs="Times New Roman"/>
          <w:color w:val="262626" w:themeColor="text1" w:themeTint="D9"/>
          <w:sz w:val="24"/>
          <w:szCs w:val="24"/>
        </w:rPr>
        <w:t>ainsi qu’aux stagiaires post</w:t>
      </w:r>
      <w:r w:rsidR="00F31671" w:rsidRPr="002E0AB4">
        <w:rPr>
          <w:rFonts w:ascii="Times New Roman" w:hAnsi="Times New Roman" w:cs="Times New Roman"/>
          <w:color w:val="262626" w:themeColor="text1" w:themeTint="D9"/>
          <w:sz w:val="24"/>
          <w:szCs w:val="24"/>
        </w:rPr>
        <w:t xml:space="preserve">doctoraux </w:t>
      </w:r>
      <w:r w:rsidRPr="002E0AB4">
        <w:rPr>
          <w:rFonts w:ascii="Times New Roman" w:hAnsi="Times New Roman" w:cs="Times New Roman"/>
          <w:color w:val="262626" w:themeColor="text1" w:themeTint="D9"/>
          <w:sz w:val="24"/>
          <w:szCs w:val="24"/>
        </w:rPr>
        <w:t xml:space="preserve">dont le projet de recherche touche </w:t>
      </w:r>
      <w:r w:rsidR="003D1283" w:rsidRPr="002E0AB4">
        <w:rPr>
          <w:rFonts w:ascii="Times New Roman" w:hAnsi="Times New Roman" w:cs="Times New Roman"/>
          <w:color w:val="262626" w:themeColor="text1" w:themeTint="D9"/>
          <w:sz w:val="24"/>
          <w:szCs w:val="24"/>
        </w:rPr>
        <w:t xml:space="preserve">aux </w:t>
      </w:r>
      <w:r w:rsidR="005D37EC">
        <w:rPr>
          <w:rFonts w:ascii="Times New Roman" w:hAnsi="Times New Roman" w:cs="Times New Roman"/>
          <w:color w:val="262626" w:themeColor="text1" w:themeTint="D9"/>
          <w:sz w:val="24"/>
          <w:szCs w:val="24"/>
        </w:rPr>
        <w:t>questions de la santé mentale et de la judiciarisation en contexte autochtone.</w:t>
      </w:r>
    </w:p>
    <w:p w14:paraId="6176614F" w14:textId="77777777" w:rsidR="00D264A5" w:rsidRPr="002E0AB4" w:rsidRDefault="00D264A5" w:rsidP="000550EA">
      <w:pPr>
        <w:jc w:val="both"/>
        <w:rPr>
          <w:rFonts w:ascii="Times New Roman" w:hAnsi="Times New Roman" w:cs="Times New Roman"/>
          <w:b/>
          <w:color w:val="262626" w:themeColor="text1" w:themeTint="D9"/>
          <w:sz w:val="24"/>
          <w:szCs w:val="24"/>
        </w:rPr>
      </w:pPr>
      <w:r w:rsidRPr="002E0AB4">
        <w:rPr>
          <w:rFonts w:ascii="Times New Roman" w:hAnsi="Times New Roman" w:cs="Times New Roman"/>
          <w:b/>
          <w:color w:val="262626" w:themeColor="text1" w:themeTint="D9"/>
          <w:sz w:val="24"/>
          <w:szCs w:val="24"/>
        </w:rPr>
        <w:t>MONTANTS DISPONIBLES</w:t>
      </w:r>
    </w:p>
    <w:p w14:paraId="157FFF73" w14:textId="523B43AF" w:rsidR="00651654" w:rsidRPr="002E0AB4" w:rsidRDefault="006145F0" w:rsidP="00893DD0">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Le soutien financier, pour une durée d’un an</w:t>
      </w:r>
      <w:r w:rsidR="00FA4415">
        <w:rPr>
          <w:rFonts w:ascii="Times New Roman" w:hAnsi="Times New Roman" w:cs="Times New Roman"/>
          <w:color w:val="262626" w:themeColor="text1" w:themeTint="D9"/>
          <w:sz w:val="24"/>
          <w:szCs w:val="24"/>
        </w:rPr>
        <w:t>,</w:t>
      </w:r>
      <w:r w:rsidR="00F07833" w:rsidRPr="002E0AB4">
        <w:rPr>
          <w:rFonts w:ascii="Times New Roman" w:hAnsi="Times New Roman" w:cs="Times New Roman"/>
          <w:color w:val="262626" w:themeColor="text1" w:themeTint="D9"/>
          <w:sz w:val="24"/>
          <w:szCs w:val="24"/>
        </w:rPr>
        <w:t xml:space="preserve"> </w:t>
      </w:r>
      <w:r w:rsidR="007237D1" w:rsidRPr="002E0AB4">
        <w:rPr>
          <w:rFonts w:ascii="Times New Roman" w:hAnsi="Times New Roman" w:cs="Times New Roman"/>
          <w:color w:val="262626" w:themeColor="text1" w:themeTint="D9"/>
          <w:sz w:val="24"/>
          <w:szCs w:val="24"/>
        </w:rPr>
        <w:t>est de 10 000 $ pour tout candidat inscrit à des études supérieurs (maîtrise, doctorat, postdoctorat)</w:t>
      </w:r>
      <w:r w:rsidR="00893DD0" w:rsidRPr="002E0AB4">
        <w:rPr>
          <w:rFonts w:ascii="Times New Roman" w:hAnsi="Times New Roman" w:cs="Times New Roman"/>
          <w:color w:val="262626" w:themeColor="text1" w:themeTint="D9"/>
          <w:sz w:val="24"/>
          <w:szCs w:val="24"/>
        </w:rPr>
        <w:t xml:space="preserve">. </w:t>
      </w:r>
      <w:r w:rsidR="00F604CE" w:rsidRPr="002E0AB4">
        <w:rPr>
          <w:rFonts w:ascii="Times New Roman" w:hAnsi="Times New Roman" w:cs="Times New Roman"/>
          <w:color w:val="262626" w:themeColor="text1" w:themeTint="D9"/>
          <w:sz w:val="24"/>
          <w:szCs w:val="24"/>
        </w:rPr>
        <w:t xml:space="preserve">Les récipiendaires seront </w:t>
      </w:r>
      <w:r w:rsidR="00046F03" w:rsidRPr="002E0AB4">
        <w:rPr>
          <w:rFonts w:ascii="Times New Roman" w:hAnsi="Times New Roman" w:cs="Times New Roman"/>
          <w:color w:val="262626" w:themeColor="text1" w:themeTint="D9"/>
          <w:sz w:val="24"/>
          <w:szCs w:val="24"/>
        </w:rPr>
        <w:t xml:space="preserve">désignés après examen des candidatures </w:t>
      </w:r>
      <w:r w:rsidR="008F03E5" w:rsidRPr="002E0AB4">
        <w:rPr>
          <w:rFonts w:ascii="Times New Roman" w:hAnsi="Times New Roman" w:cs="Times New Roman"/>
          <w:color w:val="262626" w:themeColor="text1" w:themeTint="D9"/>
          <w:sz w:val="24"/>
          <w:szCs w:val="24"/>
        </w:rPr>
        <w:t xml:space="preserve">au terme du </w:t>
      </w:r>
      <w:r w:rsidR="00F604CE" w:rsidRPr="002E0AB4">
        <w:rPr>
          <w:rFonts w:ascii="Times New Roman" w:hAnsi="Times New Roman" w:cs="Times New Roman"/>
          <w:color w:val="262626" w:themeColor="text1" w:themeTint="D9"/>
          <w:sz w:val="24"/>
          <w:szCs w:val="24"/>
        </w:rPr>
        <w:t>concours.</w:t>
      </w:r>
      <w:r w:rsidR="00651654" w:rsidRPr="002E0AB4">
        <w:rPr>
          <w:rFonts w:ascii="Times New Roman" w:hAnsi="Times New Roman" w:cs="Times New Roman"/>
          <w:color w:val="262626" w:themeColor="text1" w:themeTint="D9"/>
          <w:sz w:val="24"/>
          <w:szCs w:val="24"/>
        </w:rPr>
        <w:t xml:space="preserve"> </w:t>
      </w:r>
    </w:p>
    <w:p w14:paraId="6A7799E5" w14:textId="7B189FA6" w:rsidR="00405BD3" w:rsidRPr="002E0AB4" w:rsidRDefault="00651654" w:rsidP="000550E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Les sommes seront remises </w:t>
      </w:r>
      <w:r w:rsidR="0063283A" w:rsidRPr="002E0AB4">
        <w:rPr>
          <w:rFonts w:ascii="Times New Roman" w:hAnsi="Times New Roman" w:cs="Times New Roman"/>
          <w:color w:val="262626" w:themeColor="text1" w:themeTint="D9"/>
          <w:sz w:val="24"/>
          <w:szCs w:val="24"/>
        </w:rPr>
        <w:t xml:space="preserve">aux récipiendaires </w:t>
      </w:r>
      <w:r w:rsidR="00405BD3" w:rsidRPr="002E0AB4">
        <w:rPr>
          <w:rFonts w:ascii="Times New Roman" w:hAnsi="Times New Roman" w:cs="Times New Roman"/>
          <w:color w:val="262626" w:themeColor="text1" w:themeTint="D9"/>
          <w:sz w:val="24"/>
          <w:szCs w:val="24"/>
        </w:rPr>
        <w:t xml:space="preserve">en </w:t>
      </w:r>
      <w:r w:rsidRPr="002E0AB4">
        <w:rPr>
          <w:rFonts w:ascii="Times New Roman" w:hAnsi="Times New Roman" w:cs="Times New Roman"/>
          <w:color w:val="262626" w:themeColor="text1" w:themeTint="D9"/>
          <w:sz w:val="24"/>
          <w:szCs w:val="24"/>
        </w:rPr>
        <w:t xml:space="preserve">versements réguliers </w:t>
      </w:r>
      <w:r w:rsidR="00F31671" w:rsidRPr="002E0AB4">
        <w:rPr>
          <w:rFonts w:ascii="Times New Roman" w:hAnsi="Times New Roman" w:cs="Times New Roman"/>
          <w:color w:val="262626" w:themeColor="text1" w:themeTint="D9"/>
          <w:sz w:val="24"/>
          <w:szCs w:val="24"/>
        </w:rPr>
        <w:t xml:space="preserve">au </w:t>
      </w:r>
      <w:r w:rsidRPr="002E0AB4">
        <w:rPr>
          <w:rFonts w:ascii="Times New Roman" w:hAnsi="Times New Roman" w:cs="Times New Roman"/>
          <w:color w:val="262626" w:themeColor="text1" w:themeTint="D9"/>
          <w:sz w:val="24"/>
          <w:szCs w:val="24"/>
        </w:rPr>
        <w:t>cours de l’année de financement</w:t>
      </w:r>
      <w:r w:rsidR="00F31671" w:rsidRPr="002E0AB4">
        <w:rPr>
          <w:rFonts w:ascii="Times New Roman" w:hAnsi="Times New Roman" w:cs="Times New Roman"/>
          <w:color w:val="262626" w:themeColor="text1" w:themeTint="D9"/>
          <w:sz w:val="24"/>
          <w:szCs w:val="24"/>
        </w:rPr>
        <w:t xml:space="preserve">. </w:t>
      </w:r>
    </w:p>
    <w:p w14:paraId="0957CC19" w14:textId="77777777" w:rsidR="00405BD3" w:rsidRPr="002E0AB4" w:rsidRDefault="00405BD3" w:rsidP="000550EA">
      <w:pPr>
        <w:jc w:val="both"/>
        <w:rPr>
          <w:rFonts w:ascii="Times New Roman" w:hAnsi="Times New Roman" w:cs="Times New Roman"/>
          <w:b/>
          <w:color w:val="262626" w:themeColor="text1" w:themeTint="D9"/>
          <w:sz w:val="24"/>
          <w:szCs w:val="24"/>
        </w:rPr>
      </w:pPr>
      <w:r w:rsidRPr="002E0AB4">
        <w:rPr>
          <w:rFonts w:ascii="Times New Roman" w:hAnsi="Times New Roman" w:cs="Times New Roman"/>
          <w:b/>
          <w:color w:val="262626" w:themeColor="text1" w:themeTint="D9"/>
          <w:sz w:val="24"/>
          <w:szCs w:val="24"/>
        </w:rPr>
        <w:t>DATE LIMITE DU CONCOURS</w:t>
      </w:r>
    </w:p>
    <w:p w14:paraId="5E428CE6" w14:textId="1E4A7278" w:rsidR="003E3D7A" w:rsidRDefault="00405BD3" w:rsidP="003E3D7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Les candidats ont jusqu’au </w:t>
      </w:r>
      <w:r w:rsidR="00661856">
        <w:rPr>
          <w:rFonts w:ascii="Times New Roman" w:hAnsi="Times New Roman" w:cs="Times New Roman"/>
          <w:b/>
          <w:color w:val="262626" w:themeColor="text1" w:themeTint="D9"/>
          <w:sz w:val="24"/>
          <w:szCs w:val="24"/>
        </w:rPr>
        <w:t>31 décembre</w:t>
      </w:r>
      <w:r w:rsidR="007237D1" w:rsidRPr="002E0AB4">
        <w:rPr>
          <w:rFonts w:ascii="Times New Roman" w:hAnsi="Times New Roman" w:cs="Times New Roman"/>
          <w:b/>
          <w:color w:val="262626" w:themeColor="text1" w:themeTint="D9"/>
          <w:sz w:val="24"/>
          <w:szCs w:val="24"/>
        </w:rPr>
        <w:t xml:space="preserve"> </w:t>
      </w:r>
      <w:r w:rsidR="00E53490" w:rsidRPr="002E0AB4">
        <w:rPr>
          <w:rFonts w:ascii="Times New Roman" w:hAnsi="Times New Roman" w:cs="Times New Roman"/>
          <w:b/>
          <w:color w:val="262626" w:themeColor="text1" w:themeTint="D9"/>
          <w:sz w:val="24"/>
          <w:szCs w:val="24"/>
        </w:rPr>
        <w:t>202</w:t>
      </w:r>
      <w:r w:rsidR="00E53490">
        <w:rPr>
          <w:rFonts w:ascii="Times New Roman" w:hAnsi="Times New Roman" w:cs="Times New Roman"/>
          <w:b/>
          <w:color w:val="262626" w:themeColor="text1" w:themeTint="D9"/>
          <w:sz w:val="24"/>
          <w:szCs w:val="24"/>
        </w:rPr>
        <w:t>5</w:t>
      </w:r>
      <w:r w:rsidR="00E53490" w:rsidRPr="002E0AB4">
        <w:rPr>
          <w:rFonts w:ascii="Times New Roman" w:hAnsi="Times New Roman" w:cs="Times New Roman"/>
          <w:color w:val="262626" w:themeColor="text1" w:themeTint="D9"/>
          <w:sz w:val="24"/>
          <w:szCs w:val="24"/>
        </w:rPr>
        <w:t xml:space="preserve"> </w:t>
      </w:r>
      <w:r w:rsidRPr="002E0AB4">
        <w:rPr>
          <w:rFonts w:ascii="Times New Roman" w:hAnsi="Times New Roman" w:cs="Times New Roman"/>
          <w:color w:val="262626" w:themeColor="text1" w:themeTint="D9"/>
          <w:sz w:val="24"/>
          <w:szCs w:val="24"/>
        </w:rPr>
        <w:t xml:space="preserve">pour compléter </w:t>
      </w:r>
      <w:r w:rsidR="000719C8" w:rsidRPr="002E0AB4">
        <w:rPr>
          <w:rFonts w:ascii="Times New Roman" w:hAnsi="Times New Roman" w:cs="Times New Roman"/>
          <w:color w:val="262626" w:themeColor="text1" w:themeTint="D9"/>
          <w:sz w:val="24"/>
          <w:szCs w:val="24"/>
        </w:rPr>
        <w:t xml:space="preserve">et transmettre </w:t>
      </w:r>
      <w:r w:rsidRPr="002E0AB4">
        <w:rPr>
          <w:rFonts w:ascii="Times New Roman" w:hAnsi="Times New Roman" w:cs="Times New Roman"/>
          <w:color w:val="262626" w:themeColor="text1" w:themeTint="D9"/>
          <w:sz w:val="24"/>
          <w:szCs w:val="24"/>
        </w:rPr>
        <w:t xml:space="preserve">leur demande de soutien financier. Un comité d’évaluation formé de membres permanents de </w:t>
      </w:r>
      <w:r w:rsidR="005E453C" w:rsidRPr="002E0AB4">
        <w:rPr>
          <w:rFonts w:ascii="Times New Roman" w:hAnsi="Times New Roman" w:cs="Times New Roman"/>
          <w:color w:val="262626" w:themeColor="text1" w:themeTint="D9"/>
          <w:sz w:val="24"/>
          <w:szCs w:val="24"/>
        </w:rPr>
        <w:t xml:space="preserve">l’Observatoire </w:t>
      </w:r>
      <w:r w:rsidRPr="002E0AB4">
        <w:rPr>
          <w:rFonts w:ascii="Times New Roman" w:hAnsi="Times New Roman" w:cs="Times New Roman"/>
          <w:color w:val="262626" w:themeColor="text1" w:themeTint="D9"/>
          <w:sz w:val="24"/>
          <w:szCs w:val="24"/>
        </w:rPr>
        <w:t>procédera ensuite à l’examen des</w:t>
      </w:r>
      <w:r w:rsidR="003E3D7A">
        <w:rPr>
          <w:rFonts w:ascii="Times New Roman" w:hAnsi="Times New Roman" w:cs="Times New Roman"/>
          <w:color w:val="262626" w:themeColor="text1" w:themeTint="D9"/>
          <w:sz w:val="24"/>
          <w:szCs w:val="24"/>
        </w:rPr>
        <w:t xml:space="preserve"> </w:t>
      </w:r>
      <w:r w:rsidRPr="002E0AB4">
        <w:rPr>
          <w:rFonts w:ascii="Times New Roman" w:hAnsi="Times New Roman" w:cs="Times New Roman"/>
          <w:color w:val="262626" w:themeColor="text1" w:themeTint="D9"/>
          <w:sz w:val="24"/>
          <w:szCs w:val="24"/>
        </w:rPr>
        <w:t xml:space="preserve">demandes. </w:t>
      </w:r>
    </w:p>
    <w:p w14:paraId="1C91A377" w14:textId="77777777" w:rsidR="003E3D7A" w:rsidRDefault="003E3D7A" w:rsidP="003E3D7A">
      <w:pPr>
        <w:jc w:val="both"/>
        <w:rPr>
          <w:rFonts w:ascii="Times New Roman" w:hAnsi="Times New Roman" w:cs="Times New Roman"/>
          <w:color w:val="262626" w:themeColor="text1" w:themeTint="D9"/>
          <w:sz w:val="24"/>
          <w:szCs w:val="24"/>
        </w:rPr>
      </w:pPr>
    </w:p>
    <w:p w14:paraId="4A57AE61" w14:textId="77777777" w:rsidR="003E3D7A" w:rsidRPr="00DE72CD" w:rsidRDefault="003E3D7A" w:rsidP="003E3D7A">
      <w:pPr>
        <w:jc w:val="both"/>
        <w:rPr>
          <w:rFonts w:ascii="Times New Roman" w:hAnsi="Times New Roman" w:cs="Times New Roman"/>
          <w:color w:val="262626" w:themeColor="text1" w:themeTint="D9"/>
          <w:sz w:val="24"/>
          <w:szCs w:val="24"/>
        </w:rPr>
      </w:pPr>
      <w:r w:rsidRPr="002E0AB4">
        <w:rPr>
          <w:rFonts w:ascii="Times New Roman" w:hAnsi="Times New Roman" w:cs="Times New Roman"/>
          <w:b/>
          <w:color w:val="262626" w:themeColor="text1" w:themeTint="D9"/>
          <w:sz w:val="24"/>
          <w:szCs w:val="24"/>
        </w:rPr>
        <w:lastRenderedPageBreak/>
        <w:t xml:space="preserve">CRITÈRES D’ADMISSIBILITÉ </w:t>
      </w:r>
    </w:p>
    <w:p w14:paraId="20C99495" w14:textId="17342BCB" w:rsidR="003E3D7A" w:rsidRPr="002E0AB4" w:rsidRDefault="003E3D7A" w:rsidP="003E3D7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Le concours s’adresse aux étudiants inscrits à temps plein pour les sessions d’automne </w:t>
      </w:r>
      <w:r w:rsidR="00C14358" w:rsidRPr="002E0AB4">
        <w:rPr>
          <w:rFonts w:ascii="Times New Roman" w:hAnsi="Times New Roman" w:cs="Times New Roman"/>
          <w:color w:val="262626" w:themeColor="text1" w:themeTint="D9"/>
          <w:sz w:val="24"/>
          <w:szCs w:val="24"/>
        </w:rPr>
        <w:t>202</w:t>
      </w:r>
      <w:r w:rsidR="00661856">
        <w:rPr>
          <w:rFonts w:ascii="Times New Roman" w:hAnsi="Times New Roman" w:cs="Times New Roman"/>
          <w:color w:val="262626" w:themeColor="text1" w:themeTint="D9"/>
          <w:sz w:val="24"/>
          <w:szCs w:val="24"/>
        </w:rPr>
        <w:t>5</w:t>
      </w:r>
      <w:r w:rsidR="00C14358" w:rsidRPr="002E0AB4">
        <w:rPr>
          <w:rFonts w:ascii="Times New Roman" w:hAnsi="Times New Roman" w:cs="Times New Roman"/>
          <w:color w:val="262626" w:themeColor="text1" w:themeTint="D9"/>
          <w:sz w:val="24"/>
          <w:szCs w:val="24"/>
        </w:rPr>
        <w:t xml:space="preserve"> </w:t>
      </w:r>
      <w:r w:rsidRPr="002E0AB4">
        <w:rPr>
          <w:rFonts w:ascii="Times New Roman" w:hAnsi="Times New Roman" w:cs="Times New Roman"/>
          <w:color w:val="262626" w:themeColor="text1" w:themeTint="D9"/>
          <w:sz w:val="24"/>
          <w:szCs w:val="24"/>
        </w:rPr>
        <w:t xml:space="preserve">et d’hiver </w:t>
      </w:r>
      <w:r w:rsidR="00C14358" w:rsidRPr="002E0AB4">
        <w:rPr>
          <w:rFonts w:ascii="Times New Roman" w:hAnsi="Times New Roman" w:cs="Times New Roman"/>
          <w:color w:val="262626" w:themeColor="text1" w:themeTint="D9"/>
          <w:sz w:val="24"/>
          <w:szCs w:val="24"/>
        </w:rPr>
        <w:t>202</w:t>
      </w:r>
      <w:r w:rsidR="00661856">
        <w:rPr>
          <w:rFonts w:ascii="Times New Roman" w:hAnsi="Times New Roman" w:cs="Times New Roman"/>
          <w:color w:val="262626" w:themeColor="text1" w:themeTint="D9"/>
          <w:sz w:val="24"/>
          <w:szCs w:val="24"/>
        </w:rPr>
        <w:t>6</w:t>
      </w:r>
      <w:r w:rsidR="00C14358" w:rsidRPr="002E0AB4">
        <w:rPr>
          <w:rFonts w:ascii="Times New Roman" w:hAnsi="Times New Roman" w:cs="Times New Roman"/>
          <w:color w:val="262626" w:themeColor="text1" w:themeTint="D9"/>
          <w:sz w:val="24"/>
          <w:szCs w:val="24"/>
        </w:rPr>
        <w:t xml:space="preserve"> </w:t>
      </w:r>
      <w:r w:rsidRPr="002E0AB4">
        <w:rPr>
          <w:rFonts w:ascii="Times New Roman" w:hAnsi="Times New Roman" w:cs="Times New Roman"/>
          <w:color w:val="262626" w:themeColor="text1" w:themeTint="D9"/>
          <w:sz w:val="24"/>
          <w:szCs w:val="24"/>
        </w:rPr>
        <w:t xml:space="preserve">à un programme d’études supérieures, </w:t>
      </w:r>
      <w:r>
        <w:rPr>
          <w:rFonts w:ascii="Times New Roman" w:hAnsi="Times New Roman" w:cs="Times New Roman"/>
          <w:color w:val="262626" w:themeColor="text1" w:themeTint="D9"/>
          <w:sz w:val="24"/>
          <w:szCs w:val="24"/>
        </w:rPr>
        <w:t>ainsi qu’aux</w:t>
      </w:r>
      <w:r w:rsidRPr="002E0AB4">
        <w:rPr>
          <w:rFonts w:ascii="Times New Roman" w:hAnsi="Times New Roman" w:cs="Times New Roman"/>
          <w:color w:val="262626" w:themeColor="text1" w:themeTint="D9"/>
          <w:sz w:val="24"/>
          <w:szCs w:val="24"/>
        </w:rPr>
        <w:t xml:space="preserve"> stagiaire</w:t>
      </w:r>
      <w:r>
        <w:rPr>
          <w:rFonts w:ascii="Times New Roman" w:hAnsi="Times New Roman" w:cs="Times New Roman"/>
          <w:color w:val="262626" w:themeColor="text1" w:themeTint="D9"/>
          <w:sz w:val="24"/>
          <w:szCs w:val="24"/>
        </w:rPr>
        <w:t>s</w:t>
      </w:r>
      <w:r w:rsidRPr="002E0AB4">
        <w:rPr>
          <w:rFonts w:ascii="Times New Roman" w:hAnsi="Times New Roman" w:cs="Times New Roman"/>
          <w:color w:val="262626" w:themeColor="text1" w:themeTint="D9"/>
          <w:sz w:val="24"/>
          <w:szCs w:val="24"/>
        </w:rPr>
        <w:t xml:space="preserve"> postdoctora</w:t>
      </w:r>
      <w:r>
        <w:rPr>
          <w:rFonts w:ascii="Times New Roman" w:hAnsi="Times New Roman" w:cs="Times New Roman"/>
          <w:color w:val="262626" w:themeColor="text1" w:themeTint="D9"/>
          <w:sz w:val="24"/>
          <w:szCs w:val="24"/>
        </w:rPr>
        <w:t>ux</w:t>
      </w:r>
      <w:r w:rsidRPr="002E0AB4">
        <w:rPr>
          <w:rFonts w:ascii="Times New Roman" w:hAnsi="Times New Roman" w:cs="Times New Roman"/>
          <w:color w:val="262626" w:themeColor="text1" w:themeTint="D9"/>
          <w:sz w:val="24"/>
          <w:szCs w:val="24"/>
        </w:rPr>
        <w:t xml:space="preserve">, dont les travaux de recherche remplissent les critères d’admissibilités du Fonds de recherche du Québec*. </w:t>
      </w:r>
    </w:p>
    <w:p w14:paraId="1C88F2AE" w14:textId="5118217B" w:rsidR="001D7BDF" w:rsidRDefault="001D7BDF" w:rsidP="003E3D7A">
      <w:pPr>
        <w:pStyle w:val="Paragraphedeliste"/>
        <w:numPr>
          <w:ilvl w:val="0"/>
          <w:numId w:val="6"/>
        </w:numPr>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S’identifier comme étant </w:t>
      </w:r>
      <w:r w:rsidR="00E47A5C">
        <w:rPr>
          <w:rFonts w:ascii="Times New Roman" w:hAnsi="Times New Roman" w:cs="Times New Roman"/>
          <w:color w:val="262626" w:themeColor="text1" w:themeTint="D9"/>
          <w:sz w:val="24"/>
          <w:szCs w:val="24"/>
        </w:rPr>
        <w:t>issu des Premières Nations, Métis ou Inuit</w:t>
      </w:r>
      <w:r>
        <w:rPr>
          <w:rFonts w:ascii="Times New Roman" w:hAnsi="Times New Roman" w:cs="Times New Roman"/>
          <w:color w:val="262626" w:themeColor="text1" w:themeTint="D9"/>
          <w:sz w:val="24"/>
          <w:szCs w:val="24"/>
        </w:rPr>
        <w:t xml:space="preserve"> au moment de présenter leur demande dans le cadre de cette initiative.</w:t>
      </w:r>
    </w:p>
    <w:p w14:paraId="11A4F860" w14:textId="0CC57F49" w:rsidR="001D7BDF" w:rsidRDefault="001D7BDF" w:rsidP="00B46ACB">
      <w:pPr>
        <w:pStyle w:val="Paragraphedeliste"/>
        <w:numPr>
          <w:ilvl w:val="1"/>
          <w:numId w:val="6"/>
        </w:numPr>
        <w:rPr>
          <w:rFonts w:ascii="Times New Roman" w:hAnsi="Times New Roman" w:cs="Times New Roman"/>
          <w:color w:val="262626" w:themeColor="text1" w:themeTint="D9"/>
          <w:sz w:val="24"/>
          <w:szCs w:val="24"/>
        </w:rPr>
      </w:pPr>
      <w:r w:rsidRPr="001D7BDF">
        <w:rPr>
          <w:rFonts w:ascii="Times New Roman" w:hAnsi="Times New Roman" w:cs="Times New Roman"/>
          <w:color w:val="262626" w:themeColor="text1" w:themeTint="D9"/>
          <w:sz w:val="24"/>
          <w:szCs w:val="24"/>
        </w:rPr>
        <w:t>Si votre demande est retenue, vous devrez fournir des renseignements supplémentaires concernant votre citoyenneté ou votre appartenance autochtone avant de pouvoir recevoir votre bourse.</w:t>
      </w:r>
    </w:p>
    <w:p w14:paraId="2B8CB024" w14:textId="3313CB1A" w:rsidR="003E3D7A" w:rsidRDefault="003E3D7A" w:rsidP="003E3D7A">
      <w:pPr>
        <w:pStyle w:val="Paragraphedeliste"/>
        <w:numPr>
          <w:ilvl w:val="0"/>
          <w:numId w:val="6"/>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Doit être inscrits à partir du trimestre d’automne </w:t>
      </w:r>
      <w:r w:rsidR="00D87EE6" w:rsidRPr="002E0AB4">
        <w:rPr>
          <w:rFonts w:ascii="Times New Roman" w:hAnsi="Times New Roman" w:cs="Times New Roman"/>
          <w:color w:val="262626" w:themeColor="text1" w:themeTint="D9"/>
          <w:sz w:val="24"/>
          <w:szCs w:val="24"/>
        </w:rPr>
        <w:t>202</w:t>
      </w:r>
      <w:r w:rsidR="00661856">
        <w:rPr>
          <w:rFonts w:ascii="Times New Roman" w:hAnsi="Times New Roman" w:cs="Times New Roman"/>
          <w:color w:val="262626" w:themeColor="text1" w:themeTint="D9"/>
          <w:sz w:val="24"/>
          <w:szCs w:val="24"/>
        </w:rPr>
        <w:t>5</w:t>
      </w:r>
      <w:r w:rsidR="00D87EE6" w:rsidRPr="002E0AB4">
        <w:rPr>
          <w:rFonts w:ascii="Times New Roman" w:hAnsi="Times New Roman" w:cs="Times New Roman"/>
          <w:color w:val="262626" w:themeColor="text1" w:themeTint="D9"/>
          <w:sz w:val="24"/>
          <w:szCs w:val="24"/>
        </w:rPr>
        <w:t xml:space="preserve"> </w:t>
      </w:r>
      <w:r w:rsidRPr="002E0AB4">
        <w:rPr>
          <w:rFonts w:ascii="Times New Roman" w:hAnsi="Times New Roman" w:cs="Times New Roman"/>
          <w:color w:val="262626" w:themeColor="text1" w:themeTint="D9"/>
          <w:sz w:val="24"/>
          <w:szCs w:val="24"/>
        </w:rPr>
        <w:t>ou des suivants, à temps plein aux études supérieures, ou stagiaire postdoctoral,</w:t>
      </w:r>
    </w:p>
    <w:p w14:paraId="27B05479" w14:textId="5AD43C04" w:rsidR="001F2ACF" w:rsidRPr="002E0AB4" w:rsidRDefault="001F2ACF" w:rsidP="00B46ACB">
      <w:pPr>
        <w:pStyle w:val="Paragraphedeliste"/>
        <w:numPr>
          <w:ilvl w:val="1"/>
          <w:numId w:val="6"/>
        </w:num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La personne doit répondre à l’un des deux critères suivants :</w:t>
      </w:r>
    </w:p>
    <w:p w14:paraId="4F4E0CE6" w14:textId="3DE56D81" w:rsidR="003E3D7A" w:rsidRPr="002E0AB4" w:rsidRDefault="001F2ACF" w:rsidP="00B46ACB">
      <w:pPr>
        <w:pStyle w:val="Paragraphedeliste"/>
        <w:numPr>
          <w:ilvl w:val="2"/>
          <w:numId w:val="6"/>
        </w:num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Proposer </w:t>
      </w:r>
      <w:r w:rsidR="003E3D7A" w:rsidRPr="002E0AB4">
        <w:rPr>
          <w:rFonts w:ascii="Times New Roman" w:hAnsi="Times New Roman" w:cs="Times New Roman"/>
          <w:color w:val="262626" w:themeColor="text1" w:themeTint="D9"/>
          <w:sz w:val="24"/>
          <w:szCs w:val="24"/>
        </w:rPr>
        <w:t xml:space="preserve">un projet de recherche qui s’inscrit dans les orientations de recherche de l’Observatoire en justice et santé mentale et qui s’inscrit dans l’un des axes de recherche suivant : </w:t>
      </w:r>
    </w:p>
    <w:p w14:paraId="0051B9C3" w14:textId="77777777" w:rsidR="003E3D7A" w:rsidRPr="002E0AB4" w:rsidRDefault="003E3D7A" w:rsidP="00B46ACB">
      <w:pPr>
        <w:pStyle w:val="Paragraphedeliste"/>
        <w:numPr>
          <w:ilvl w:val="3"/>
          <w:numId w:val="6"/>
        </w:numPr>
        <w:jc w:val="both"/>
        <w:rPr>
          <w:rFonts w:ascii="Times New Roman" w:hAnsi="Times New Roman" w:cs="Times New Roman"/>
          <w:color w:val="262626" w:themeColor="text1" w:themeTint="D9"/>
          <w:sz w:val="24"/>
          <w:szCs w:val="24"/>
        </w:rPr>
      </w:pPr>
      <w:r w:rsidRPr="002E0AB4">
        <w:rPr>
          <w:rFonts w:ascii="Times New Roman" w:hAnsi="Times New Roman" w:cs="Times New Roman"/>
          <w:b/>
          <w:color w:val="262626" w:themeColor="text1" w:themeTint="D9"/>
          <w:sz w:val="24"/>
          <w:szCs w:val="24"/>
        </w:rPr>
        <w:t xml:space="preserve">Prévention et intervention dans la communauté : </w:t>
      </w:r>
      <w:r w:rsidRPr="002E0AB4">
        <w:rPr>
          <w:rFonts w:ascii="Times New Roman" w:hAnsi="Times New Roman" w:cs="Times New Roman"/>
          <w:sz w:val="24"/>
          <w:szCs w:val="24"/>
        </w:rPr>
        <w:t>Réponse des services sociaux, policiers, comm</w:t>
      </w:r>
      <w:r>
        <w:rPr>
          <w:rFonts w:ascii="Times New Roman" w:hAnsi="Times New Roman" w:cs="Times New Roman"/>
          <w:sz w:val="24"/>
          <w:szCs w:val="24"/>
        </w:rPr>
        <w:t>un</w:t>
      </w:r>
      <w:r w:rsidRPr="002E0AB4">
        <w:rPr>
          <w:rFonts w:ascii="Times New Roman" w:hAnsi="Times New Roman" w:cs="Times New Roman"/>
          <w:sz w:val="24"/>
          <w:szCs w:val="24"/>
        </w:rPr>
        <w:t>autaires et de santé aux personnes vulnérables qui présentent des comportements dérangeants ou perturbateurs.</w:t>
      </w:r>
    </w:p>
    <w:p w14:paraId="5A501806" w14:textId="77777777" w:rsidR="003E3D7A" w:rsidRPr="002E0AB4" w:rsidRDefault="003E3D7A" w:rsidP="00B46ACB">
      <w:pPr>
        <w:pStyle w:val="Paragraphedeliste"/>
        <w:numPr>
          <w:ilvl w:val="3"/>
          <w:numId w:val="6"/>
        </w:numPr>
        <w:jc w:val="both"/>
        <w:rPr>
          <w:rFonts w:ascii="Times New Roman" w:hAnsi="Times New Roman" w:cs="Times New Roman"/>
          <w:color w:val="262626" w:themeColor="text1" w:themeTint="D9"/>
          <w:sz w:val="24"/>
          <w:szCs w:val="24"/>
        </w:rPr>
      </w:pPr>
      <w:r w:rsidRPr="002E0AB4">
        <w:rPr>
          <w:rFonts w:ascii="Times New Roman" w:hAnsi="Times New Roman" w:cs="Times New Roman"/>
          <w:b/>
          <w:color w:val="262626" w:themeColor="text1" w:themeTint="D9"/>
          <w:sz w:val="24"/>
          <w:szCs w:val="24"/>
        </w:rPr>
        <w:t>Dispositifs de prise en charge institutionnelle</w:t>
      </w:r>
      <w:r>
        <w:rPr>
          <w:rFonts w:ascii="Times New Roman" w:hAnsi="Times New Roman" w:cs="Times New Roman"/>
          <w:b/>
          <w:color w:val="262626" w:themeColor="text1" w:themeTint="D9"/>
          <w:sz w:val="24"/>
          <w:szCs w:val="24"/>
        </w:rPr>
        <w:t xml:space="preserve"> : </w:t>
      </w:r>
      <w:r w:rsidRPr="002E0AB4">
        <w:rPr>
          <w:rFonts w:ascii="Times New Roman" w:hAnsi="Times New Roman" w:cs="Times New Roman"/>
          <w:sz w:val="24"/>
          <w:szCs w:val="24"/>
          <w:bdr w:val="none" w:sz="0" w:space="0" w:color="auto" w:frame="1"/>
        </w:rPr>
        <w:t>Réponse des institutions de prise en charge sociosanitaires aux comportements perturbateurs, tels qu’en milieu hospitalier, psychiatriques ou de psychiatrie légale</w:t>
      </w:r>
      <w:r w:rsidRPr="002E0AB4">
        <w:rPr>
          <w:rFonts w:ascii="Times New Roman" w:hAnsi="Times New Roman" w:cs="Times New Roman"/>
          <w:sz w:val="24"/>
          <w:szCs w:val="24"/>
        </w:rPr>
        <w:t>.</w:t>
      </w:r>
    </w:p>
    <w:p w14:paraId="4DB68223" w14:textId="77777777" w:rsidR="003E3D7A" w:rsidRPr="002E0AB4" w:rsidRDefault="003E3D7A" w:rsidP="00B46ACB">
      <w:pPr>
        <w:pStyle w:val="Paragraphedeliste"/>
        <w:numPr>
          <w:ilvl w:val="3"/>
          <w:numId w:val="6"/>
        </w:numPr>
        <w:jc w:val="both"/>
        <w:rPr>
          <w:rFonts w:ascii="Times New Roman" w:hAnsi="Times New Roman" w:cs="Times New Roman"/>
          <w:color w:val="262626" w:themeColor="text1" w:themeTint="D9"/>
          <w:sz w:val="24"/>
          <w:szCs w:val="24"/>
        </w:rPr>
      </w:pPr>
      <w:r w:rsidRPr="002E0AB4">
        <w:rPr>
          <w:rFonts w:ascii="Times New Roman" w:hAnsi="Times New Roman" w:cs="Times New Roman"/>
          <w:b/>
          <w:color w:val="262626" w:themeColor="text1" w:themeTint="D9"/>
          <w:sz w:val="24"/>
          <w:szCs w:val="24"/>
        </w:rPr>
        <w:t>Mobilisation et transfert des connaissances</w:t>
      </w:r>
      <w:r>
        <w:rPr>
          <w:rFonts w:ascii="Times New Roman" w:hAnsi="Times New Roman" w:cs="Times New Roman"/>
          <w:b/>
          <w:color w:val="262626" w:themeColor="text1" w:themeTint="D9"/>
          <w:sz w:val="24"/>
          <w:szCs w:val="24"/>
        </w:rPr>
        <w:t xml:space="preserve"> : </w:t>
      </w:r>
      <w:r w:rsidRPr="002E0AB4">
        <w:rPr>
          <w:rFonts w:ascii="Times New Roman" w:hAnsi="Times New Roman" w:cs="Times New Roman"/>
          <w:sz w:val="24"/>
          <w:szCs w:val="24"/>
          <w:bdr w:val="none" w:sz="0" w:space="0" w:color="auto" w:frame="1"/>
        </w:rPr>
        <w:t>Activités de formation, de dissémination intégrée et de transfert des connaissances arrimant les connaissances issues de la recherche</w:t>
      </w:r>
      <w:r>
        <w:rPr>
          <w:rFonts w:ascii="Times New Roman" w:hAnsi="Times New Roman" w:cs="Times New Roman"/>
          <w:sz w:val="24"/>
          <w:szCs w:val="24"/>
          <w:bdr w:val="none" w:sz="0" w:space="0" w:color="auto" w:frame="1"/>
        </w:rPr>
        <w:t xml:space="preserve"> </w:t>
      </w:r>
      <w:r w:rsidRPr="002E0AB4">
        <w:rPr>
          <w:rFonts w:ascii="Times New Roman" w:hAnsi="Times New Roman" w:cs="Times New Roman"/>
          <w:sz w:val="24"/>
          <w:szCs w:val="24"/>
          <w:bdr w:val="none" w:sz="0" w:space="0" w:color="auto" w:frame="1"/>
        </w:rPr>
        <w:t>à la pratique clinique, à la gestion des cas et à l’intervention adaptée.</w:t>
      </w:r>
    </w:p>
    <w:p w14:paraId="6DAB466A" w14:textId="3C20719E" w:rsidR="003E3D7A" w:rsidRPr="001F2ACF" w:rsidRDefault="001F2ACF" w:rsidP="00B46ACB">
      <w:pPr>
        <w:pStyle w:val="Paragraphedeliste"/>
        <w:numPr>
          <w:ilvl w:val="2"/>
          <w:numId w:val="6"/>
        </w:num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Souhaiter développer un projet lié à la sécurisation culturelle et/ou la décolonisation des services de santé mentale forensique ou des services correctionnels (voir ci-dessous).</w:t>
      </w:r>
    </w:p>
    <w:p w14:paraId="5EB93835" w14:textId="77777777" w:rsidR="003E3D7A" w:rsidRPr="002E0AB4" w:rsidRDefault="003E3D7A" w:rsidP="003E3D7A">
      <w:pPr>
        <w:pStyle w:val="Paragraphedeliste"/>
        <w:numPr>
          <w:ilvl w:val="0"/>
          <w:numId w:val="6"/>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Recevoir l’appui d’une répondante ou d’un répondant (directrice ou directeur de recherche ou de stage, si connu)</w:t>
      </w:r>
    </w:p>
    <w:p w14:paraId="02AE3215" w14:textId="77777777" w:rsidR="003E3D7A" w:rsidRDefault="003E3D7A" w:rsidP="003E3D7A">
      <w:pPr>
        <w:pStyle w:val="Paragraphedeliste"/>
        <w:numPr>
          <w:ilvl w:val="0"/>
          <w:numId w:val="6"/>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Avoir un bon dossier académique. </w:t>
      </w:r>
    </w:p>
    <w:p w14:paraId="2ECC181B" w14:textId="3B9CD0D6" w:rsidR="00C14358" w:rsidRPr="00B46ACB" w:rsidRDefault="00C14358" w:rsidP="00B46ACB">
      <w:pPr>
        <w:jc w:val="both"/>
        <w:rPr>
          <w:rFonts w:ascii="Times New Roman" w:hAnsi="Times New Roman" w:cs="Times New Roman"/>
          <w:color w:val="262626" w:themeColor="text1" w:themeTint="D9"/>
          <w:sz w:val="24"/>
          <w:szCs w:val="24"/>
        </w:rPr>
      </w:pPr>
      <w:r>
        <w:rPr>
          <w:rFonts w:ascii="Times New Roman" w:hAnsi="Times New Roman" w:cs="Times New Roman"/>
          <w:color w:val="262626" w:themeColor="text1" w:themeTint="D9"/>
          <w:sz w:val="24"/>
          <w:szCs w:val="24"/>
        </w:rPr>
        <w:t xml:space="preserve">De plus, si la personne récipiendaire de la bourse le souhaite, elle aura la possibilité de se joindre à une équipe internationale (Québec, Colombie-Britannique, Manitoba, Aotearoa Nouvelle-Zélande) portant sur la sécurisation culturelle en santé mentale forensique et dans les services correctionnels. Cette équipe internationale réunit plus de 40 partenaires, étudiants et chercheurs des Premières Nations, Métis, Inuit, et Māori afin de soutenir la décolonisation des institutions en santé mentale forensique. Cette implication serait jointe à un financement </w:t>
      </w:r>
      <w:r w:rsidR="00B46ACB">
        <w:rPr>
          <w:rFonts w:ascii="Times New Roman" w:hAnsi="Times New Roman" w:cs="Times New Roman"/>
          <w:color w:val="262626" w:themeColor="text1" w:themeTint="D9"/>
          <w:sz w:val="24"/>
          <w:szCs w:val="24"/>
        </w:rPr>
        <w:t>additionnel</w:t>
      </w:r>
      <w:r>
        <w:rPr>
          <w:rFonts w:ascii="Times New Roman" w:hAnsi="Times New Roman" w:cs="Times New Roman"/>
          <w:color w:val="262626" w:themeColor="text1" w:themeTint="D9"/>
          <w:sz w:val="24"/>
          <w:szCs w:val="24"/>
        </w:rPr>
        <w:t>.</w:t>
      </w:r>
    </w:p>
    <w:tbl>
      <w:tblPr>
        <w:tblStyle w:val="Grilledutableau"/>
        <w:tblW w:w="0" w:type="auto"/>
        <w:shd w:val="clear" w:color="auto" w:fill="F2F2F2" w:themeFill="background1" w:themeFillShade="F2"/>
        <w:tblLook w:val="04A0" w:firstRow="1" w:lastRow="0" w:firstColumn="1" w:lastColumn="0" w:noHBand="0" w:noVBand="1"/>
      </w:tblPr>
      <w:tblGrid>
        <w:gridCol w:w="9487"/>
      </w:tblGrid>
      <w:tr w:rsidR="003E3D7A" w:rsidRPr="002E0AB4" w14:paraId="4E618CDA" w14:textId="77777777" w:rsidTr="00DE72CD">
        <w:tc>
          <w:tcPr>
            <w:tcW w:w="9487" w:type="dxa"/>
            <w:shd w:val="clear" w:color="auto" w:fill="F2F2F2" w:themeFill="background1" w:themeFillShade="F2"/>
          </w:tcPr>
          <w:p w14:paraId="6FC40786" w14:textId="77777777" w:rsidR="003E3D7A" w:rsidRPr="002E0AB4" w:rsidRDefault="003E3D7A" w:rsidP="00DE72CD">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 </w:t>
            </w:r>
            <w:r w:rsidRPr="002E0AB4">
              <w:rPr>
                <w:rFonts w:ascii="Times New Roman" w:hAnsi="Times New Roman" w:cs="Times New Roman"/>
                <w:i/>
                <w:color w:val="262626" w:themeColor="text1" w:themeTint="D9"/>
                <w:sz w:val="24"/>
                <w:szCs w:val="24"/>
              </w:rPr>
              <w:t xml:space="preserve">Conformément aux exigences du Fonds de recherche du Québec, le candidat doit, au moment du dépôt de sa demande, être considéré citoyen canadien ou résident permanent au sens de la </w:t>
            </w:r>
            <w:r w:rsidRPr="002E0AB4">
              <w:rPr>
                <w:rFonts w:ascii="Times New Roman" w:hAnsi="Times New Roman" w:cs="Times New Roman"/>
                <w:color w:val="262626" w:themeColor="text1" w:themeTint="D9"/>
                <w:sz w:val="24"/>
                <w:szCs w:val="24"/>
              </w:rPr>
              <w:t>Loi sur l’immigration et la protection des réfugiés</w:t>
            </w:r>
            <w:r w:rsidRPr="002E0AB4">
              <w:rPr>
                <w:rFonts w:ascii="Times New Roman" w:hAnsi="Times New Roman" w:cs="Times New Roman"/>
                <w:i/>
                <w:color w:val="262626" w:themeColor="text1" w:themeTint="D9"/>
                <w:sz w:val="24"/>
                <w:szCs w:val="24"/>
              </w:rPr>
              <w:t xml:space="preserve"> de 2001, ch. 27, et domicilié au Québec </w:t>
            </w:r>
            <w:r w:rsidRPr="002E0AB4">
              <w:rPr>
                <w:rFonts w:ascii="Times New Roman" w:hAnsi="Times New Roman" w:cs="Times New Roman"/>
                <w:i/>
                <w:color w:val="262626" w:themeColor="text1" w:themeTint="D9"/>
                <w:sz w:val="24"/>
                <w:szCs w:val="24"/>
                <w:u w:val="single"/>
              </w:rPr>
              <w:t xml:space="preserve">depuis </w:t>
            </w:r>
            <w:r w:rsidRPr="002E0AB4">
              <w:rPr>
                <w:rFonts w:ascii="Times New Roman" w:hAnsi="Times New Roman" w:cs="Times New Roman"/>
                <w:i/>
                <w:color w:val="262626" w:themeColor="text1" w:themeTint="D9"/>
                <w:sz w:val="24"/>
                <w:szCs w:val="24"/>
                <w:u w:val="single"/>
              </w:rPr>
              <w:lastRenderedPageBreak/>
              <w:t>au moins six mois</w:t>
            </w:r>
            <w:r w:rsidRPr="002E0AB4">
              <w:rPr>
                <w:rFonts w:ascii="Times New Roman" w:hAnsi="Times New Roman" w:cs="Times New Roman"/>
                <w:i/>
                <w:color w:val="262626" w:themeColor="text1" w:themeTint="D9"/>
                <w:sz w:val="24"/>
                <w:szCs w:val="24"/>
              </w:rPr>
              <w:t xml:space="preserve">. Il doit démontrer qu’il est résident au Québec au sens de la </w:t>
            </w:r>
            <w:r w:rsidRPr="002E0AB4">
              <w:rPr>
                <w:rFonts w:ascii="Times New Roman" w:hAnsi="Times New Roman" w:cs="Times New Roman"/>
                <w:color w:val="262626" w:themeColor="text1" w:themeTint="D9"/>
                <w:sz w:val="24"/>
                <w:szCs w:val="24"/>
              </w:rPr>
              <w:t>Loi sur l’assurance maladie</w:t>
            </w:r>
            <w:r w:rsidRPr="002E0AB4">
              <w:rPr>
                <w:rFonts w:ascii="Times New Roman" w:hAnsi="Times New Roman" w:cs="Times New Roman"/>
                <w:i/>
                <w:color w:val="262626" w:themeColor="text1" w:themeTint="D9"/>
                <w:sz w:val="24"/>
                <w:szCs w:val="24"/>
              </w:rPr>
              <w:t xml:space="preserve"> (RLRQ, c. A-29) et du </w:t>
            </w:r>
            <w:r w:rsidRPr="002E0AB4">
              <w:rPr>
                <w:rFonts w:ascii="Times New Roman" w:hAnsi="Times New Roman" w:cs="Times New Roman"/>
                <w:color w:val="262626" w:themeColor="text1" w:themeTint="D9"/>
                <w:sz w:val="24"/>
                <w:szCs w:val="24"/>
              </w:rPr>
              <w:t>Règlement sur l’admissibilité et l’inscription des personnes auprès</w:t>
            </w:r>
            <w:r w:rsidRPr="002E0AB4">
              <w:rPr>
                <w:rFonts w:ascii="Times New Roman" w:hAnsi="Times New Roman" w:cs="Times New Roman"/>
                <w:i/>
                <w:color w:val="262626" w:themeColor="text1" w:themeTint="D9"/>
                <w:sz w:val="24"/>
                <w:szCs w:val="24"/>
              </w:rPr>
              <w:t xml:space="preserve"> de la Régie de l’assurance maladie du Québec.</w:t>
            </w:r>
          </w:p>
        </w:tc>
      </w:tr>
    </w:tbl>
    <w:p w14:paraId="638A42BA" w14:textId="77777777" w:rsidR="003E3D7A" w:rsidRDefault="003E3D7A" w:rsidP="003E3D7A">
      <w:pPr>
        <w:jc w:val="both"/>
        <w:rPr>
          <w:rFonts w:ascii="Times New Roman" w:hAnsi="Times New Roman" w:cs="Times New Roman"/>
          <w:b/>
          <w:color w:val="262626" w:themeColor="text1" w:themeTint="D9"/>
          <w:sz w:val="24"/>
          <w:szCs w:val="24"/>
        </w:rPr>
      </w:pPr>
    </w:p>
    <w:p w14:paraId="28406036" w14:textId="77777777" w:rsidR="003E3D7A" w:rsidRPr="002E0AB4" w:rsidRDefault="003E3D7A" w:rsidP="003E3D7A">
      <w:pPr>
        <w:jc w:val="both"/>
        <w:rPr>
          <w:rFonts w:ascii="Times New Roman" w:hAnsi="Times New Roman" w:cs="Times New Roman"/>
          <w:b/>
          <w:color w:val="262626" w:themeColor="text1" w:themeTint="D9"/>
          <w:sz w:val="24"/>
          <w:szCs w:val="24"/>
        </w:rPr>
      </w:pPr>
      <w:r w:rsidRPr="002E0AB4">
        <w:rPr>
          <w:rFonts w:ascii="Times New Roman" w:hAnsi="Times New Roman" w:cs="Times New Roman"/>
          <w:b/>
          <w:color w:val="262626" w:themeColor="text1" w:themeTint="D9"/>
          <w:sz w:val="24"/>
          <w:szCs w:val="24"/>
        </w:rPr>
        <w:t xml:space="preserve">OBLIGATIONS ET ENGAGEMENTS DU CANDIDAT </w:t>
      </w:r>
    </w:p>
    <w:p w14:paraId="48B7C338" w14:textId="77777777" w:rsidR="003E3D7A" w:rsidRPr="002E0AB4" w:rsidRDefault="003E3D7A" w:rsidP="003E3D7A">
      <w:p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Le récipiendaire du soutien financier devra s’engager à :</w:t>
      </w:r>
    </w:p>
    <w:p w14:paraId="4CC91FBF" w14:textId="77777777" w:rsidR="003E3D7A" w:rsidRPr="002E0AB4" w:rsidRDefault="003E3D7A" w:rsidP="003E3D7A">
      <w:pPr>
        <w:pStyle w:val="Paragraphedeliste"/>
        <w:numPr>
          <w:ilvl w:val="0"/>
          <w:numId w:val="3"/>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Soumettre, si demandé par l’équipe de recherche, un rapport de progrès avant le terme de l’année de subvention ;</w:t>
      </w:r>
    </w:p>
    <w:p w14:paraId="5AD3CB83" w14:textId="77777777" w:rsidR="003E3D7A" w:rsidRPr="002E0AB4" w:rsidRDefault="003E3D7A" w:rsidP="003E3D7A">
      <w:pPr>
        <w:pStyle w:val="Paragraphedeliste"/>
        <w:numPr>
          <w:ilvl w:val="0"/>
          <w:numId w:val="3"/>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Contribuer aux activités de transfert des connaissances de l’Observatoire pertinentes à son projet de recherche pour fins d’intégration à la pratique ;</w:t>
      </w:r>
    </w:p>
    <w:p w14:paraId="0A33345D" w14:textId="77777777" w:rsidR="003E3D7A" w:rsidRPr="002E0AB4" w:rsidRDefault="003E3D7A" w:rsidP="003E3D7A">
      <w:pPr>
        <w:pStyle w:val="Paragraphedeliste"/>
        <w:numPr>
          <w:ilvl w:val="0"/>
          <w:numId w:val="3"/>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Prendre toutes les dispositions nécessaires afin d’assurer la réalisation du projet ; </w:t>
      </w:r>
    </w:p>
    <w:p w14:paraId="696C8A1B" w14:textId="77777777" w:rsidR="003E3D7A" w:rsidRPr="002E0AB4" w:rsidRDefault="003E3D7A" w:rsidP="003E3D7A">
      <w:pPr>
        <w:pStyle w:val="Paragraphedeliste"/>
        <w:numPr>
          <w:ilvl w:val="0"/>
          <w:numId w:val="3"/>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Présenter les résultats de ses travaux aux membres de l’Observatoire, contribuer aux publications de l’équipe, à la diffusion et la promotion des résultats de ses travaux de recherche ; </w:t>
      </w:r>
    </w:p>
    <w:p w14:paraId="4C851F9D" w14:textId="0FE83B38" w:rsidR="003E3D7A" w:rsidRPr="00B46ACB" w:rsidRDefault="003E3D7A" w:rsidP="003E3D7A">
      <w:pPr>
        <w:pStyle w:val="Paragraphedeliste"/>
        <w:numPr>
          <w:ilvl w:val="0"/>
          <w:numId w:val="3"/>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Si requis par la nature des activités reliées au projet de recherche, faire les démarches en vue de l’obtention du certificat d’éthique à la recherche et à en fournir une copie à l’équipe de recherche après l’avoir obtenu. </w:t>
      </w:r>
    </w:p>
    <w:p w14:paraId="2A1AA96C" w14:textId="77777777" w:rsidR="003E3D7A" w:rsidRPr="002E0AB4" w:rsidRDefault="003E3D7A" w:rsidP="003E3D7A">
      <w:pPr>
        <w:jc w:val="both"/>
        <w:rPr>
          <w:rFonts w:ascii="Times New Roman" w:hAnsi="Times New Roman" w:cs="Times New Roman"/>
          <w:b/>
          <w:color w:val="262626" w:themeColor="text1" w:themeTint="D9"/>
          <w:sz w:val="24"/>
          <w:szCs w:val="24"/>
        </w:rPr>
      </w:pPr>
      <w:r w:rsidRPr="002E0AB4">
        <w:rPr>
          <w:rFonts w:ascii="Times New Roman" w:hAnsi="Times New Roman" w:cs="Times New Roman"/>
          <w:b/>
          <w:color w:val="262626" w:themeColor="text1" w:themeTint="D9"/>
          <w:sz w:val="24"/>
          <w:szCs w:val="24"/>
        </w:rPr>
        <w:t>CRITÈRES D’ÉVALUATION DE LA DEMANDE</w:t>
      </w:r>
    </w:p>
    <w:p w14:paraId="5BE2507A" w14:textId="77777777" w:rsidR="003E3D7A" w:rsidRPr="002E0AB4" w:rsidRDefault="003E3D7A" w:rsidP="003E3D7A">
      <w:pPr>
        <w:pStyle w:val="Paragraphedeliste"/>
        <w:numPr>
          <w:ilvl w:val="0"/>
          <w:numId w:val="1"/>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Excellence du dossier universitaire et démonstration de la progression dans la démarche académique, qu’elle soit classique ou non linéaire.</w:t>
      </w:r>
    </w:p>
    <w:p w14:paraId="143633A9" w14:textId="77777777" w:rsidR="003E3D7A" w:rsidRPr="002E0AB4" w:rsidRDefault="003E3D7A" w:rsidP="003E3D7A">
      <w:pPr>
        <w:pStyle w:val="Paragraphedeliste"/>
        <w:numPr>
          <w:ilvl w:val="0"/>
          <w:numId w:val="1"/>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Qualité du projet.</w:t>
      </w:r>
    </w:p>
    <w:p w14:paraId="7E689DFA" w14:textId="77777777" w:rsidR="003E3D7A" w:rsidRPr="002E0AB4" w:rsidRDefault="003E3D7A" w:rsidP="003E3D7A">
      <w:pPr>
        <w:pStyle w:val="Paragraphedeliste"/>
        <w:numPr>
          <w:ilvl w:val="1"/>
          <w:numId w:val="1"/>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Correspondance avec les axes de recherche de l’Observatoire</w:t>
      </w:r>
    </w:p>
    <w:p w14:paraId="0E8179E2" w14:textId="77777777" w:rsidR="003E3D7A" w:rsidRPr="002E0AB4" w:rsidRDefault="003E3D7A" w:rsidP="003E3D7A">
      <w:pPr>
        <w:pStyle w:val="Paragraphedeliste"/>
        <w:numPr>
          <w:ilvl w:val="1"/>
          <w:numId w:val="1"/>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Originalité, clarté et pertinence de la problématique</w:t>
      </w:r>
    </w:p>
    <w:p w14:paraId="182D8289" w14:textId="77777777" w:rsidR="003E3D7A" w:rsidRPr="002E0AB4" w:rsidRDefault="003E3D7A" w:rsidP="003E3D7A">
      <w:pPr>
        <w:pStyle w:val="Paragraphedeliste"/>
        <w:numPr>
          <w:ilvl w:val="1"/>
          <w:numId w:val="1"/>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Pertinence de l’approche théorique et de la méthodologie envisagée</w:t>
      </w:r>
    </w:p>
    <w:p w14:paraId="24F5746C" w14:textId="77777777" w:rsidR="003E3D7A" w:rsidRPr="00446538" w:rsidRDefault="003E3D7A" w:rsidP="003E3D7A">
      <w:pPr>
        <w:pStyle w:val="Paragraphedeliste"/>
        <w:numPr>
          <w:ilvl w:val="0"/>
          <w:numId w:val="1"/>
        </w:numPr>
        <w:jc w:val="both"/>
        <w:rPr>
          <w:rFonts w:ascii="Times New Roman" w:hAnsi="Times New Roman" w:cs="Times New Roman"/>
          <w:b/>
          <w:color w:val="262626" w:themeColor="text1" w:themeTint="D9"/>
          <w:sz w:val="24"/>
          <w:szCs w:val="24"/>
        </w:rPr>
      </w:pPr>
      <w:r w:rsidRPr="002E0AB4">
        <w:rPr>
          <w:rFonts w:ascii="Times New Roman" w:hAnsi="Times New Roman" w:cs="Times New Roman"/>
          <w:color w:val="262626" w:themeColor="text1" w:themeTint="D9"/>
          <w:sz w:val="24"/>
          <w:szCs w:val="24"/>
        </w:rPr>
        <w:t>Retombées potentielles et estimées sur les milieux de la recherche et de la pratique.</w:t>
      </w:r>
    </w:p>
    <w:p w14:paraId="086180C2" w14:textId="77777777" w:rsidR="00B46ACB" w:rsidRDefault="00B46ACB" w:rsidP="003E3D7A">
      <w:pPr>
        <w:jc w:val="both"/>
        <w:rPr>
          <w:rFonts w:ascii="Times New Roman" w:hAnsi="Times New Roman" w:cs="Times New Roman"/>
          <w:b/>
          <w:color w:val="262626" w:themeColor="text1" w:themeTint="D9"/>
          <w:sz w:val="24"/>
          <w:szCs w:val="24"/>
        </w:rPr>
      </w:pPr>
    </w:p>
    <w:p w14:paraId="178E8CD4" w14:textId="5B3481B9" w:rsidR="003E3D7A" w:rsidRPr="002E0AB4" w:rsidRDefault="003E3D7A" w:rsidP="003E3D7A">
      <w:pPr>
        <w:jc w:val="both"/>
        <w:rPr>
          <w:rFonts w:ascii="Times New Roman" w:hAnsi="Times New Roman" w:cs="Times New Roman"/>
          <w:b/>
          <w:color w:val="262626" w:themeColor="text1" w:themeTint="D9"/>
          <w:sz w:val="24"/>
          <w:szCs w:val="24"/>
        </w:rPr>
      </w:pPr>
      <w:r w:rsidRPr="002E0AB4">
        <w:rPr>
          <w:rFonts w:ascii="Times New Roman" w:hAnsi="Times New Roman" w:cs="Times New Roman"/>
          <w:b/>
          <w:color w:val="262626" w:themeColor="text1" w:themeTint="D9"/>
          <w:sz w:val="24"/>
          <w:szCs w:val="24"/>
        </w:rPr>
        <w:t>LISTE DES PIÈCES REQUISES</w:t>
      </w:r>
    </w:p>
    <w:p w14:paraId="52BD5278" w14:textId="77777777" w:rsidR="003E3D7A" w:rsidRPr="002E0AB4" w:rsidRDefault="003E3D7A" w:rsidP="003E3D7A">
      <w:pPr>
        <w:pStyle w:val="Paragraphedeliste"/>
        <w:numPr>
          <w:ilvl w:val="0"/>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Le « formulaire de candidature » de l’Observatoire avec la signature du directeur de recherche.</w:t>
      </w:r>
    </w:p>
    <w:p w14:paraId="44119AF0" w14:textId="77777777" w:rsidR="003E3D7A" w:rsidRPr="002E0AB4" w:rsidRDefault="003E3D7A" w:rsidP="003E3D7A">
      <w:pPr>
        <w:pStyle w:val="Paragraphedeliste"/>
        <w:numPr>
          <w:ilvl w:val="0"/>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Les relevés de notes cumulatifs de la maîtrise et du doctorat. Les relevés de notes cumulatifs au baccalauréat seront exigibles pour les étudiants à la maîtrise.</w:t>
      </w:r>
    </w:p>
    <w:p w14:paraId="7271BEC1" w14:textId="77777777" w:rsidR="003E3D7A" w:rsidRPr="002E0AB4" w:rsidRDefault="003E3D7A" w:rsidP="003E3D7A">
      <w:pPr>
        <w:pStyle w:val="Paragraphedeliste"/>
        <w:numPr>
          <w:ilvl w:val="0"/>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Le </w:t>
      </w:r>
      <w:r w:rsidRPr="002E0AB4">
        <w:rPr>
          <w:rFonts w:ascii="Times New Roman" w:hAnsi="Times New Roman" w:cs="Times New Roman"/>
          <w:i/>
          <w:color w:val="262626" w:themeColor="text1" w:themeTint="D9"/>
          <w:sz w:val="24"/>
          <w:szCs w:val="24"/>
        </w:rPr>
        <w:t>curriculum vitae</w:t>
      </w:r>
      <w:r w:rsidRPr="002E0AB4">
        <w:rPr>
          <w:rFonts w:ascii="Times New Roman" w:hAnsi="Times New Roman" w:cs="Times New Roman"/>
          <w:color w:val="262626" w:themeColor="text1" w:themeTint="D9"/>
          <w:sz w:val="24"/>
          <w:szCs w:val="24"/>
        </w:rPr>
        <w:t>, en incluant une liste des publications pertinentes, des institutions et programmes universitaires fréquentés et des bourses et prix obtenus (sur une feuille à part si nécessaire).</w:t>
      </w:r>
    </w:p>
    <w:p w14:paraId="10AFDC97" w14:textId="77777777" w:rsidR="003E3D7A" w:rsidRPr="002E0AB4" w:rsidRDefault="003E3D7A" w:rsidP="003E3D7A">
      <w:pPr>
        <w:pStyle w:val="Paragraphedeliste"/>
        <w:numPr>
          <w:ilvl w:val="0"/>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Un résumé du projet de recherche (</w:t>
      </w:r>
      <w:r w:rsidRPr="002E0AB4">
        <w:rPr>
          <w:rFonts w:ascii="Times New Roman" w:hAnsi="Times New Roman" w:cs="Times New Roman"/>
          <w:b/>
          <w:color w:val="262626" w:themeColor="text1" w:themeTint="D9"/>
          <w:sz w:val="24"/>
          <w:szCs w:val="24"/>
        </w:rPr>
        <w:t>1 page</w:t>
      </w:r>
      <w:r w:rsidRPr="002E0AB4">
        <w:rPr>
          <w:rFonts w:ascii="Times New Roman" w:hAnsi="Times New Roman" w:cs="Times New Roman"/>
          <w:color w:val="262626" w:themeColor="text1" w:themeTint="D9"/>
          <w:sz w:val="24"/>
          <w:szCs w:val="24"/>
        </w:rPr>
        <w:t>).</w:t>
      </w:r>
    </w:p>
    <w:p w14:paraId="45AE44AD" w14:textId="77777777" w:rsidR="003E3D7A" w:rsidRPr="002E0AB4" w:rsidRDefault="003E3D7A" w:rsidP="003E3D7A">
      <w:pPr>
        <w:pStyle w:val="Paragraphedeliste"/>
        <w:numPr>
          <w:ilvl w:val="0"/>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Une lettre de motivation précisant le lien entre le projet de recherche et la programmation de l’Observatoire et faisant état de la progression du cheminement académique et professionnel du candidat (</w:t>
      </w:r>
      <w:r w:rsidRPr="002E0AB4">
        <w:rPr>
          <w:rFonts w:ascii="Times New Roman" w:hAnsi="Times New Roman" w:cs="Times New Roman"/>
          <w:b/>
          <w:color w:val="262626" w:themeColor="text1" w:themeTint="D9"/>
          <w:sz w:val="24"/>
          <w:szCs w:val="24"/>
        </w:rPr>
        <w:t>1 page</w:t>
      </w:r>
      <w:r w:rsidRPr="002E0AB4">
        <w:rPr>
          <w:rFonts w:ascii="Times New Roman" w:hAnsi="Times New Roman" w:cs="Times New Roman"/>
          <w:color w:val="262626" w:themeColor="text1" w:themeTint="D9"/>
          <w:sz w:val="24"/>
          <w:szCs w:val="24"/>
        </w:rPr>
        <w:t>).</w:t>
      </w:r>
    </w:p>
    <w:p w14:paraId="498D870D" w14:textId="77777777" w:rsidR="003E3D7A" w:rsidRPr="002E0AB4" w:rsidRDefault="003E3D7A" w:rsidP="003E3D7A">
      <w:pPr>
        <w:pStyle w:val="Paragraphedeliste"/>
        <w:numPr>
          <w:ilvl w:val="0"/>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Pourraient être exigibles : une copie des documents attestant de la conformité du candidat </w:t>
      </w:r>
    </w:p>
    <w:p w14:paraId="5582CE45" w14:textId="77777777" w:rsidR="003E3D7A" w:rsidRPr="002E0AB4" w:rsidRDefault="003E3D7A" w:rsidP="003E3D7A">
      <w:pPr>
        <w:pStyle w:val="Paragraphedeliste"/>
        <w:numPr>
          <w:ilvl w:val="1"/>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lastRenderedPageBreak/>
        <w:t xml:space="preserve">au statut d’étudiant inscrit à un programme d’enseignement dans un établissement universitaire québécois </w:t>
      </w:r>
    </w:p>
    <w:p w14:paraId="16301106" w14:textId="77777777" w:rsidR="003E3D7A" w:rsidRPr="002E0AB4" w:rsidRDefault="003E3D7A" w:rsidP="003E3D7A">
      <w:pPr>
        <w:pStyle w:val="Paragraphedeliste"/>
        <w:numPr>
          <w:ilvl w:val="1"/>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aux normes de citoyenneté et/ou de résidence au sens de la </w:t>
      </w:r>
      <w:r w:rsidRPr="002E0AB4">
        <w:rPr>
          <w:rFonts w:ascii="Times New Roman" w:hAnsi="Times New Roman" w:cs="Times New Roman"/>
          <w:i/>
          <w:color w:val="262626" w:themeColor="text1" w:themeTint="D9"/>
          <w:sz w:val="24"/>
          <w:szCs w:val="24"/>
        </w:rPr>
        <w:t>Loi sur l’immigration et la protection des réfugiés</w:t>
      </w:r>
      <w:r w:rsidRPr="002E0AB4">
        <w:rPr>
          <w:rFonts w:ascii="Times New Roman" w:hAnsi="Times New Roman" w:cs="Times New Roman"/>
          <w:color w:val="262626" w:themeColor="text1" w:themeTint="D9"/>
          <w:sz w:val="24"/>
          <w:szCs w:val="24"/>
        </w:rPr>
        <w:t xml:space="preserve"> (passeport, certificat de naissance, p.ex.) </w:t>
      </w:r>
    </w:p>
    <w:p w14:paraId="18F8E982" w14:textId="7EAB60E7" w:rsidR="003E3D7A" w:rsidRPr="00E95809" w:rsidRDefault="003E3D7A" w:rsidP="003E3D7A">
      <w:pPr>
        <w:pStyle w:val="Paragraphedeliste"/>
        <w:numPr>
          <w:ilvl w:val="1"/>
          <w:numId w:val="4"/>
        </w:numPr>
        <w:jc w:val="both"/>
        <w:rPr>
          <w:rFonts w:ascii="Times New Roman" w:hAnsi="Times New Roman" w:cs="Times New Roman"/>
          <w:color w:val="262626" w:themeColor="text1" w:themeTint="D9"/>
          <w:sz w:val="24"/>
          <w:szCs w:val="24"/>
        </w:rPr>
      </w:pPr>
      <w:r w:rsidRPr="002E0AB4">
        <w:rPr>
          <w:rFonts w:ascii="Times New Roman" w:hAnsi="Times New Roman" w:cs="Times New Roman"/>
          <w:color w:val="262626" w:themeColor="text1" w:themeTint="D9"/>
          <w:sz w:val="24"/>
          <w:szCs w:val="24"/>
        </w:rPr>
        <w:t xml:space="preserve">au statut de personne domiciliée au Québec depuis aux moins six mois, au sens de la </w:t>
      </w:r>
      <w:r w:rsidRPr="002E0AB4">
        <w:rPr>
          <w:rFonts w:ascii="Times New Roman" w:hAnsi="Times New Roman" w:cs="Times New Roman"/>
          <w:i/>
          <w:color w:val="262626" w:themeColor="text1" w:themeTint="D9"/>
          <w:sz w:val="24"/>
          <w:szCs w:val="24"/>
        </w:rPr>
        <w:t>Loi sur l’Assurance maladie</w:t>
      </w:r>
      <w:r w:rsidRPr="002E0AB4">
        <w:rPr>
          <w:rFonts w:ascii="Times New Roman" w:hAnsi="Times New Roman" w:cs="Times New Roman"/>
          <w:color w:val="262626" w:themeColor="text1" w:themeTint="D9"/>
          <w:sz w:val="24"/>
          <w:szCs w:val="24"/>
        </w:rPr>
        <w:t xml:space="preserve"> et du </w:t>
      </w:r>
      <w:r w:rsidRPr="002E0AB4">
        <w:rPr>
          <w:rFonts w:ascii="Times New Roman" w:hAnsi="Times New Roman" w:cs="Times New Roman"/>
          <w:i/>
          <w:color w:val="262626" w:themeColor="text1" w:themeTint="D9"/>
          <w:sz w:val="24"/>
          <w:szCs w:val="24"/>
        </w:rPr>
        <w:t xml:space="preserve">Règlement sur l’admissibilité et l’inscription des personnes auprès de la Régie de l’assurance maladie du Québec </w:t>
      </w:r>
      <w:r w:rsidRPr="002E0AB4">
        <w:rPr>
          <w:rFonts w:ascii="Times New Roman" w:hAnsi="Times New Roman" w:cs="Times New Roman"/>
          <w:color w:val="262626" w:themeColor="text1" w:themeTint="D9"/>
          <w:sz w:val="24"/>
          <w:szCs w:val="24"/>
        </w:rPr>
        <w:t xml:space="preserve">(carte d’assurance maladie) </w:t>
      </w:r>
    </w:p>
    <w:p w14:paraId="2022DCEC" w14:textId="77777777" w:rsidR="003E3D7A" w:rsidRPr="002E0AB4" w:rsidRDefault="003E3D7A" w:rsidP="003E3D7A">
      <w:pPr>
        <w:rPr>
          <w:rFonts w:ascii="Times New Roman" w:hAnsi="Times New Roman" w:cs="Times New Roman"/>
          <w:b/>
          <w:color w:val="262626" w:themeColor="text1" w:themeTint="D9"/>
          <w:sz w:val="24"/>
          <w:szCs w:val="24"/>
        </w:rPr>
      </w:pPr>
      <w:r w:rsidRPr="002E0AB4">
        <w:rPr>
          <w:rFonts w:ascii="Times New Roman" w:hAnsi="Times New Roman" w:cs="Times New Roman"/>
          <w:b/>
          <w:color w:val="262626" w:themeColor="text1" w:themeTint="D9"/>
          <w:sz w:val="24"/>
          <w:szCs w:val="24"/>
        </w:rPr>
        <w:t>POUR DE PLUS AMPLES RENSEIGNEMENTS, OU POUR FAIRE PARVENIR VOTRE DOSSIER</w:t>
      </w:r>
    </w:p>
    <w:p w14:paraId="74820227" w14:textId="44B687FA" w:rsidR="003E3D7A" w:rsidRPr="002E0AB4" w:rsidRDefault="00B46ACB" w:rsidP="003E3D7A">
      <w:pPr>
        <w:spacing w:after="0"/>
        <w:rPr>
          <w:rFonts w:ascii="Times New Roman" w:eastAsiaTheme="minorEastAsia" w:hAnsi="Times New Roman" w:cs="Times New Roman"/>
          <w:noProof/>
          <w:color w:val="595959" w:themeColor="text1" w:themeTint="A6"/>
          <w:sz w:val="24"/>
          <w:szCs w:val="24"/>
          <w:lang w:eastAsia="fr-CA"/>
        </w:rPr>
      </w:pPr>
      <w:r>
        <w:rPr>
          <w:rFonts w:ascii="Times New Roman" w:eastAsiaTheme="minorEastAsia" w:hAnsi="Times New Roman" w:cs="Times New Roman"/>
          <w:noProof/>
          <w:color w:val="595959" w:themeColor="text1" w:themeTint="A6"/>
          <w:sz w:val="24"/>
          <w:szCs w:val="24"/>
          <w:lang w:eastAsia="fr-CA"/>
        </w:rPr>
        <w:t>Daniela Perrottet</w:t>
      </w:r>
      <w:r w:rsidR="003E3D7A">
        <w:rPr>
          <w:rFonts w:ascii="Times New Roman" w:eastAsiaTheme="minorEastAsia" w:hAnsi="Times New Roman" w:cs="Times New Roman"/>
          <w:noProof/>
          <w:color w:val="595959" w:themeColor="text1" w:themeTint="A6"/>
          <w:sz w:val="24"/>
          <w:szCs w:val="24"/>
          <w:lang w:eastAsia="fr-CA"/>
        </w:rPr>
        <w:t>, coordonnatrice</w:t>
      </w:r>
    </w:p>
    <w:p w14:paraId="3A9989C1"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r w:rsidRPr="002E0AB4">
        <w:rPr>
          <w:rFonts w:ascii="Times New Roman" w:eastAsiaTheme="minorEastAsia" w:hAnsi="Times New Roman" w:cs="Times New Roman"/>
          <w:noProof/>
          <w:color w:val="595959" w:themeColor="text1" w:themeTint="A6"/>
          <w:sz w:val="24"/>
          <w:szCs w:val="24"/>
          <w:lang w:eastAsia="fr-CA"/>
        </w:rPr>
        <w:t>Observatoire en justice et santé mentale</w:t>
      </w:r>
    </w:p>
    <w:p w14:paraId="2F46870F"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p>
    <w:p w14:paraId="3FB80B0A"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r w:rsidRPr="002E0AB4">
        <w:rPr>
          <w:rFonts w:ascii="Times New Roman" w:eastAsiaTheme="minorEastAsia" w:hAnsi="Times New Roman" w:cs="Times New Roman"/>
          <w:noProof/>
          <w:color w:val="595959" w:themeColor="text1" w:themeTint="A6"/>
          <w:sz w:val="24"/>
          <w:szCs w:val="24"/>
          <w:lang w:eastAsia="fr-CA"/>
        </w:rPr>
        <w:t>Direction de la recherche et de l’enseignement universitaire</w:t>
      </w:r>
    </w:p>
    <w:p w14:paraId="128C4824"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r w:rsidRPr="002E0AB4">
        <w:rPr>
          <w:rFonts w:ascii="Times New Roman" w:eastAsiaTheme="minorEastAsia" w:hAnsi="Times New Roman" w:cs="Times New Roman"/>
          <w:noProof/>
          <w:color w:val="595959" w:themeColor="text1" w:themeTint="A6"/>
          <w:sz w:val="24"/>
          <w:szCs w:val="24"/>
          <w:lang w:eastAsia="fr-CA"/>
        </w:rPr>
        <w:t xml:space="preserve">Institut national de psychiatrie légale Philippe-Pinel </w:t>
      </w:r>
    </w:p>
    <w:p w14:paraId="7AA82CB6"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p>
    <w:p w14:paraId="20C831C3"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hyperlink r:id="rId10" w:history="1">
        <w:r w:rsidRPr="002E0AB4">
          <w:rPr>
            <w:rStyle w:val="Lienhypertexte"/>
            <w:rFonts w:ascii="Times New Roman" w:eastAsiaTheme="minorEastAsia" w:hAnsi="Times New Roman" w:cs="Times New Roman"/>
            <w:noProof/>
            <w:sz w:val="24"/>
            <w:szCs w:val="24"/>
            <w:lang w:eastAsia="fr-CA"/>
          </w:rPr>
          <w:t>observatoire@santementalejustice.ca</w:t>
        </w:r>
      </w:hyperlink>
    </w:p>
    <w:p w14:paraId="3B29D231"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r w:rsidRPr="002E0AB4">
        <w:rPr>
          <w:rFonts w:ascii="Times New Roman" w:eastAsiaTheme="minorEastAsia" w:hAnsi="Times New Roman" w:cs="Times New Roman"/>
          <w:noProof/>
          <w:color w:val="595959" w:themeColor="text1" w:themeTint="A6"/>
          <w:sz w:val="24"/>
          <w:szCs w:val="24"/>
          <w:lang w:eastAsia="fr-CA"/>
        </w:rPr>
        <w:t xml:space="preserve"> </w:t>
      </w:r>
    </w:p>
    <w:p w14:paraId="4E717F29" w14:textId="77777777" w:rsidR="003E3D7A" w:rsidRPr="002E0AB4" w:rsidRDefault="003E3D7A" w:rsidP="003E3D7A">
      <w:pPr>
        <w:spacing w:after="0"/>
        <w:rPr>
          <w:rFonts w:ascii="Times New Roman" w:eastAsiaTheme="minorEastAsia" w:hAnsi="Times New Roman" w:cs="Times New Roman"/>
          <w:noProof/>
          <w:color w:val="595959" w:themeColor="text1" w:themeTint="A6"/>
          <w:sz w:val="24"/>
          <w:szCs w:val="24"/>
          <w:lang w:eastAsia="fr-CA"/>
        </w:rPr>
      </w:pPr>
    </w:p>
    <w:p w14:paraId="0F1BA583" w14:textId="65F275D6" w:rsidR="00793DFF" w:rsidRPr="002E0AB4" w:rsidRDefault="00793DFF" w:rsidP="00B46ACB">
      <w:pPr>
        <w:jc w:val="both"/>
        <w:rPr>
          <w:rFonts w:ascii="Times New Roman" w:eastAsiaTheme="minorEastAsia" w:hAnsi="Times New Roman" w:cs="Times New Roman"/>
          <w:noProof/>
          <w:color w:val="595959" w:themeColor="text1" w:themeTint="A6"/>
          <w:sz w:val="24"/>
          <w:szCs w:val="24"/>
          <w:lang w:eastAsia="fr-CA"/>
        </w:rPr>
      </w:pPr>
    </w:p>
    <w:sectPr w:rsidR="00793DFF" w:rsidRPr="002E0AB4" w:rsidSect="00446538">
      <w:headerReference w:type="default" r:id="rId11"/>
      <w:footerReference w:type="default" r:id="rId12"/>
      <w:headerReference w:type="first" r:id="rId13"/>
      <w:pgSz w:w="12240" w:h="15840"/>
      <w:pgMar w:top="1134" w:right="1134" w:bottom="1134" w:left="1134" w:header="34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4D07E" w14:textId="77777777" w:rsidR="00E37D82" w:rsidRDefault="00E37D82">
      <w:pPr>
        <w:spacing w:after="0" w:line="240" w:lineRule="auto"/>
      </w:pPr>
      <w:r>
        <w:separator/>
      </w:r>
    </w:p>
  </w:endnote>
  <w:endnote w:type="continuationSeparator" w:id="0">
    <w:p w14:paraId="14A35CD0" w14:textId="77777777" w:rsidR="00E37D82" w:rsidRDefault="00E37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542748"/>
      <w:docPartObj>
        <w:docPartGallery w:val="Page Numbers (Bottom of Page)"/>
        <w:docPartUnique/>
      </w:docPartObj>
    </w:sdtPr>
    <w:sdtEndPr/>
    <w:sdtContent>
      <w:p w14:paraId="4B84B133" w14:textId="77777777" w:rsidR="004E0C8C" w:rsidRDefault="008D3D93">
        <w:pPr>
          <w:pStyle w:val="Pieddepage"/>
          <w:jc w:val="center"/>
        </w:pPr>
        <w:r>
          <w:fldChar w:fldCharType="begin"/>
        </w:r>
        <w:r>
          <w:instrText>PAGE   \* MERGEFORMAT</w:instrText>
        </w:r>
        <w:r>
          <w:fldChar w:fldCharType="separate"/>
        </w:r>
        <w:r w:rsidR="00985515" w:rsidRPr="00985515">
          <w:rPr>
            <w:noProof/>
            <w:lang w:val="fr-FR"/>
          </w:rPr>
          <w:t>2</w:t>
        </w:r>
        <w:r>
          <w:fldChar w:fldCharType="end"/>
        </w:r>
      </w:p>
    </w:sdtContent>
  </w:sdt>
  <w:p w14:paraId="3C8ED329" w14:textId="77777777" w:rsidR="004E0C8C" w:rsidRDefault="004E0C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BA01" w14:textId="77777777" w:rsidR="00E37D82" w:rsidRDefault="00E37D82">
      <w:pPr>
        <w:spacing w:after="0" w:line="240" w:lineRule="auto"/>
      </w:pPr>
      <w:r>
        <w:separator/>
      </w:r>
    </w:p>
  </w:footnote>
  <w:footnote w:type="continuationSeparator" w:id="0">
    <w:p w14:paraId="3B8C3EE0" w14:textId="77777777" w:rsidR="00E37D82" w:rsidRDefault="00E37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8D1C1" w14:textId="77777777" w:rsidR="004E0C8C" w:rsidRPr="00B63334" w:rsidRDefault="00661856" w:rsidP="00B63334">
    <w:pPr>
      <w:pStyle w:val="En-tte"/>
      <w:rPr>
        <w:sz w:val="24"/>
        <w:szCs w:val="24"/>
      </w:rPr>
    </w:pPr>
    <w:sdt>
      <w:sdtPr>
        <w:rPr>
          <w:rFonts w:asciiTheme="majorHAnsi" w:eastAsiaTheme="majorEastAsia" w:hAnsiTheme="majorHAnsi" w:cstheme="majorBidi"/>
          <w:color w:val="4F81BD" w:themeColor="accent1"/>
          <w:sz w:val="24"/>
          <w:szCs w:val="24"/>
        </w:rPr>
        <w:alias w:val="Titre"/>
        <w:id w:val="78404852"/>
        <w:showingPlcHdr/>
        <w:dataBinding w:prefixMappings="xmlns:ns0='http://schemas.openxmlformats.org/package/2006/metadata/core-properties' xmlns:ns1='http://purl.org/dc/elements/1.1/'" w:xpath="/ns0:coreProperties[1]/ns1:title[1]" w:storeItemID="{6C3C8BC8-F283-45AE-878A-BAB7291924A1}"/>
        <w:text/>
      </w:sdtPr>
      <w:sdtEndPr/>
      <w:sdtContent>
        <w:r w:rsidR="00F07833">
          <w:rPr>
            <w:rFonts w:asciiTheme="majorHAnsi" w:eastAsiaTheme="majorEastAsia" w:hAnsiTheme="majorHAnsi" w:cstheme="majorBidi"/>
            <w:color w:val="4F81BD" w:themeColor="accent1"/>
            <w:sz w:val="24"/>
            <w:szCs w:val="24"/>
          </w:rPr>
          <w:t xml:space="preserve">     </w:t>
        </w:r>
      </w:sdtContent>
    </w:sdt>
    <w:r w:rsidR="008D3D93" w:rsidRPr="000879C5">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
        <w:id w:val="78404859"/>
        <w:showingPlcHdr/>
        <w:dataBinding w:prefixMappings="xmlns:ns0='http://schemas.microsoft.com/office/2006/coverPageProps'" w:xpath="/ns0:CoverPageProperties[1]/ns0:PublishDate[1]" w:storeItemID="{55AF091B-3C7A-41E3-B477-F2FDAA23CFDA}"/>
        <w:date>
          <w:dateFormat w:val="dd MMMM yyyy"/>
          <w:lid w:val="fr-FR"/>
          <w:storeMappedDataAs w:val="dateTime"/>
          <w:calendar w:val="gregorian"/>
        </w:date>
      </w:sdtPr>
      <w:sdtEndPr/>
      <w:sdtContent>
        <w:r w:rsidR="00F07833">
          <w:rPr>
            <w:rFonts w:asciiTheme="majorHAnsi" w:eastAsiaTheme="majorEastAsia" w:hAnsiTheme="majorHAnsi" w:cstheme="majorBidi"/>
            <w:color w:val="4F81BD" w:themeColor="accent1"/>
            <w:sz w:val="24"/>
            <w:szCs w:val="24"/>
          </w:rPr>
          <w:t xml:space="preserve">     </w:t>
        </w:r>
      </w:sdtContent>
    </w:sdt>
  </w:p>
  <w:p w14:paraId="63E3CDDA" w14:textId="77777777" w:rsidR="004E0C8C" w:rsidRDefault="004E0C8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499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1"/>
      <w:gridCol w:w="3863"/>
      <w:gridCol w:w="1969"/>
      <w:gridCol w:w="236"/>
      <w:gridCol w:w="2350"/>
      <w:gridCol w:w="2073"/>
    </w:tblGrid>
    <w:tr w:rsidR="00295FDB" w:rsidRPr="001624AB" w14:paraId="52F67F9C" w14:textId="77777777" w:rsidTr="0031523C">
      <w:trPr>
        <w:gridAfter w:val="1"/>
        <w:wAfter w:w="2073" w:type="dxa"/>
      </w:trPr>
      <w:tc>
        <w:tcPr>
          <w:tcW w:w="4501" w:type="dxa"/>
        </w:tcPr>
        <w:p w14:paraId="2BD3A44F" w14:textId="77777777" w:rsidR="00295FDB" w:rsidRPr="00A82975" w:rsidRDefault="00295FDB" w:rsidP="00295FDB">
          <w:pPr>
            <w:rPr>
              <w:rFonts w:ascii="Calibri" w:hAnsi="Calibri"/>
            </w:rPr>
          </w:pPr>
          <w:r>
            <w:rPr>
              <w:rFonts w:ascii="Calibri" w:hAnsi="Calibri"/>
              <w:noProof/>
              <w:lang w:eastAsia="fr-CA"/>
            </w:rPr>
            <w:drawing>
              <wp:inline distT="0" distB="0" distL="0" distR="0" wp14:anchorId="480A50C7" wp14:editId="4EC9C3D9">
                <wp:extent cx="2721524" cy="107632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orizH.png"/>
                        <pic:cNvPicPr/>
                      </pic:nvPicPr>
                      <pic:blipFill>
                        <a:blip r:embed="rId1">
                          <a:extLst>
                            <a:ext uri="{28A0092B-C50C-407E-A947-70E740481C1C}">
                              <a14:useLocalDpi xmlns:a14="http://schemas.microsoft.com/office/drawing/2010/main" val="0"/>
                            </a:ext>
                          </a:extLst>
                        </a:blip>
                        <a:stretch>
                          <a:fillRect/>
                        </a:stretch>
                      </pic:blipFill>
                      <pic:spPr>
                        <a:xfrm>
                          <a:off x="0" y="0"/>
                          <a:ext cx="2735873" cy="1082000"/>
                        </a:xfrm>
                        <a:prstGeom prst="rect">
                          <a:avLst/>
                        </a:prstGeom>
                      </pic:spPr>
                    </pic:pic>
                  </a:graphicData>
                </a:graphic>
              </wp:inline>
            </w:drawing>
          </w:r>
          <w:r w:rsidRPr="00A82975">
            <w:rPr>
              <w:rFonts w:ascii="Calibri" w:hAnsi="Calibri"/>
            </w:rPr>
            <w:t xml:space="preserve"> </w:t>
          </w:r>
        </w:p>
      </w:tc>
      <w:tc>
        <w:tcPr>
          <w:tcW w:w="3863" w:type="dxa"/>
        </w:tcPr>
        <w:p w14:paraId="71533985" w14:textId="77777777" w:rsidR="00295FDB" w:rsidRDefault="00295FDB" w:rsidP="00295FDB">
          <w:pPr>
            <w:rPr>
              <w:rFonts w:ascii="Arial" w:hAnsi="Arial" w:cs="Arial"/>
              <w:noProof/>
              <w:sz w:val="20"/>
              <w:szCs w:val="20"/>
            </w:rPr>
          </w:pPr>
        </w:p>
        <w:p w14:paraId="20D2A6D1" w14:textId="77777777" w:rsidR="00295FDB" w:rsidRPr="00404FAC" w:rsidRDefault="00295FDB" w:rsidP="00295FDB">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 xml:space="preserve">Interdisciplinarité </w:t>
          </w:r>
        </w:p>
        <w:p w14:paraId="4C56715F" w14:textId="77777777" w:rsidR="00295FDB" w:rsidRPr="00404FAC" w:rsidRDefault="00295FDB" w:rsidP="00295FDB">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 xml:space="preserve">Intersectoralité </w:t>
          </w:r>
        </w:p>
        <w:p w14:paraId="2B48345C" w14:textId="77777777" w:rsidR="00295FDB" w:rsidRPr="00404FAC" w:rsidRDefault="00295FDB" w:rsidP="00295FDB">
          <w:pPr>
            <w:rPr>
              <w:rFonts w:ascii="Arial" w:hAnsi="Arial" w:cs="Arial"/>
              <w:noProof/>
              <w:color w:val="4A442A" w:themeColor="background2" w:themeShade="40"/>
              <w:sz w:val="20"/>
              <w:szCs w:val="20"/>
            </w:rPr>
          </w:pPr>
          <w:r w:rsidRPr="00404FAC">
            <w:rPr>
              <w:rFonts w:ascii="Arial" w:hAnsi="Arial" w:cs="Arial"/>
              <w:noProof/>
              <w:color w:val="4A442A" w:themeColor="background2" w:themeShade="40"/>
              <w:sz w:val="20"/>
              <w:szCs w:val="20"/>
            </w:rPr>
            <w:t>Recherche</w:t>
          </w:r>
        </w:p>
        <w:p w14:paraId="0C0D8804" w14:textId="77777777" w:rsidR="00295FDB" w:rsidRPr="00404FAC" w:rsidRDefault="00295FDB" w:rsidP="00295FDB">
          <w:pPr>
            <w:rPr>
              <w:rFonts w:ascii="Arial" w:hAnsi="Arial" w:cs="Arial"/>
              <w:noProof/>
              <w:color w:val="4A442A" w:themeColor="background2" w:themeShade="40"/>
              <w:sz w:val="20"/>
              <w:szCs w:val="20"/>
            </w:rPr>
          </w:pPr>
        </w:p>
        <w:p w14:paraId="7E27A5B7" w14:textId="77777777" w:rsidR="00295FDB" w:rsidRPr="006C0EFC" w:rsidRDefault="00295FDB" w:rsidP="00295FDB">
          <w:pPr>
            <w:rPr>
              <w:rFonts w:ascii="Arial" w:hAnsi="Arial" w:cs="Arial"/>
              <w:sz w:val="20"/>
              <w:szCs w:val="20"/>
            </w:rPr>
          </w:pPr>
          <w:r w:rsidRPr="00404FAC">
            <w:rPr>
              <w:rFonts w:ascii="Arial" w:hAnsi="Arial" w:cs="Arial"/>
              <w:noProof/>
              <w:color w:val="4A442A" w:themeColor="background2" w:themeShade="40"/>
              <w:sz w:val="20"/>
              <w:szCs w:val="20"/>
            </w:rPr>
            <w:t>À l’interface de la santé mentale, la justice et la sécurité</w:t>
          </w:r>
        </w:p>
      </w:tc>
      <w:tc>
        <w:tcPr>
          <w:tcW w:w="4555" w:type="dxa"/>
          <w:gridSpan w:val="3"/>
        </w:tcPr>
        <w:p w14:paraId="520D5A63" w14:textId="77777777" w:rsidR="00295FDB" w:rsidRDefault="00295FDB" w:rsidP="00295FDB">
          <w:pPr>
            <w:rPr>
              <w:rFonts w:ascii="Arial" w:hAnsi="Arial" w:cs="Arial"/>
              <w:b/>
              <w:i/>
            </w:rPr>
          </w:pPr>
        </w:p>
        <w:p w14:paraId="65515A02" w14:textId="77777777" w:rsidR="00295FDB" w:rsidRPr="006C0EFC" w:rsidRDefault="00295FDB" w:rsidP="00295FDB">
          <w:pPr>
            <w:rPr>
              <w:rFonts w:ascii="Arial" w:hAnsi="Arial" w:cs="Arial"/>
              <w:b/>
              <w:i/>
            </w:rPr>
          </w:pPr>
          <w:r w:rsidRPr="006C0EFC">
            <w:rPr>
              <w:rFonts w:ascii="Arial" w:hAnsi="Arial" w:cs="Arial"/>
              <w:b/>
              <w:i/>
            </w:rPr>
            <w:t xml:space="preserve">Fonds de recherche </w:t>
          </w:r>
        </w:p>
        <w:p w14:paraId="7CF6FAF4" w14:textId="77777777" w:rsidR="00295FDB" w:rsidRPr="006C0EFC" w:rsidRDefault="00295FDB" w:rsidP="00295FDB">
          <w:pPr>
            <w:rPr>
              <w:rFonts w:ascii="Arial" w:hAnsi="Arial" w:cs="Arial"/>
              <w:b/>
              <w:i/>
            </w:rPr>
          </w:pPr>
          <w:r>
            <w:rPr>
              <w:rFonts w:ascii="Arial" w:hAnsi="Arial" w:cs="Arial"/>
              <w:b/>
              <w:i/>
            </w:rPr>
            <w:t>Société et culture</w:t>
          </w:r>
        </w:p>
        <w:p w14:paraId="2A0668FD" w14:textId="77777777" w:rsidR="00295FDB" w:rsidRDefault="00295FDB" w:rsidP="00295FDB">
          <w:pPr>
            <w:rPr>
              <w:rFonts w:ascii="Calibri" w:hAnsi="Calibri"/>
            </w:rPr>
          </w:pPr>
          <w:r>
            <w:rPr>
              <w:rFonts w:ascii="Calibri" w:hAnsi="Calibri"/>
              <w:noProof/>
              <w:lang w:eastAsia="fr-CA"/>
            </w:rPr>
            <w:drawing>
              <wp:inline distT="0" distB="0" distL="0" distR="0" wp14:anchorId="2D6B48B4" wp14:editId="07D0F850">
                <wp:extent cx="1247775" cy="251433"/>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ébec_Logo.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57379" cy="253368"/>
                        </a:xfrm>
                        <a:prstGeom prst="rect">
                          <a:avLst/>
                        </a:prstGeom>
                      </pic:spPr>
                    </pic:pic>
                  </a:graphicData>
                </a:graphic>
              </wp:inline>
            </w:drawing>
          </w:r>
        </w:p>
      </w:tc>
    </w:tr>
    <w:tr w:rsidR="0031523C" w:rsidRPr="001624AB" w14:paraId="5D5E769D" w14:textId="77777777" w:rsidTr="0031523C">
      <w:tc>
        <w:tcPr>
          <w:tcW w:w="4501" w:type="dxa"/>
        </w:tcPr>
        <w:p w14:paraId="558A6B5F" w14:textId="77777777" w:rsidR="00295FDB" w:rsidRDefault="00295FDB" w:rsidP="00295FDB">
          <w:pPr>
            <w:rPr>
              <w:rFonts w:ascii="Calibri" w:hAnsi="Calibri"/>
              <w:noProof/>
            </w:rPr>
          </w:pPr>
        </w:p>
        <w:p w14:paraId="3A460456" w14:textId="77777777" w:rsidR="00295FDB" w:rsidRDefault="00295FDB" w:rsidP="00295FDB">
          <w:pPr>
            <w:rPr>
              <w:rFonts w:ascii="Calibri" w:hAnsi="Calibri"/>
              <w:noProof/>
            </w:rPr>
          </w:pPr>
        </w:p>
        <w:p w14:paraId="2B213581" w14:textId="77777777" w:rsidR="00295FDB" w:rsidRPr="001624AB" w:rsidRDefault="00295FDB" w:rsidP="00295FDB">
          <w:pPr>
            <w:rPr>
              <w:rFonts w:ascii="Calibri" w:hAnsi="Calibri"/>
              <w:noProof/>
            </w:rPr>
          </w:pPr>
        </w:p>
      </w:tc>
      <w:tc>
        <w:tcPr>
          <w:tcW w:w="5832" w:type="dxa"/>
          <w:gridSpan w:val="2"/>
        </w:tcPr>
        <w:p w14:paraId="340E5CAC" w14:textId="77777777" w:rsidR="00295FDB" w:rsidRPr="001624AB" w:rsidRDefault="00295FDB" w:rsidP="00295FDB">
          <w:pPr>
            <w:rPr>
              <w:rFonts w:ascii="Calibri" w:hAnsi="Calibri"/>
            </w:rPr>
          </w:pPr>
        </w:p>
      </w:tc>
      <w:tc>
        <w:tcPr>
          <w:tcW w:w="236" w:type="dxa"/>
        </w:tcPr>
        <w:p w14:paraId="2605FEEA" w14:textId="77777777" w:rsidR="00295FDB" w:rsidRPr="001624AB" w:rsidRDefault="00295FDB" w:rsidP="00295FDB">
          <w:pPr>
            <w:rPr>
              <w:rFonts w:ascii="Calibri" w:hAnsi="Calibri"/>
            </w:rPr>
          </w:pPr>
        </w:p>
      </w:tc>
      <w:tc>
        <w:tcPr>
          <w:tcW w:w="4423" w:type="dxa"/>
          <w:gridSpan w:val="2"/>
        </w:tcPr>
        <w:p w14:paraId="4F1114F9" w14:textId="77777777" w:rsidR="00295FDB" w:rsidRPr="001624AB" w:rsidRDefault="00295FDB" w:rsidP="00295FDB">
          <w:pPr>
            <w:rPr>
              <w:rFonts w:ascii="Calibri" w:hAnsi="Calibri"/>
            </w:rPr>
          </w:pPr>
        </w:p>
      </w:tc>
    </w:tr>
  </w:tbl>
  <w:p w14:paraId="0BF93CEE" w14:textId="77777777" w:rsidR="004E0C8C" w:rsidRDefault="004E0C8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42D97"/>
    <w:multiLevelType w:val="hybridMultilevel"/>
    <w:tmpl w:val="0116EA3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CCD1ECB"/>
    <w:multiLevelType w:val="hybridMultilevel"/>
    <w:tmpl w:val="9B42B1CC"/>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23552E06"/>
    <w:multiLevelType w:val="multilevel"/>
    <w:tmpl w:val="BA7EE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161D0F"/>
    <w:multiLevelType w:val="hybridMultilevel"/>
    <w:tmpl w:val="181418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3B740CF1"/>
    <w:multiLevelType w:val="hybridMultilevel"/>
    <w:tmpl w:val="6AD29196"/>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48BC0DBC"/>
    <w:multiLevelType w:val="hybridMultilevel"/>
    <w:tmpl w:val="552A7BF8"/>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725E4B23"/>
    <w:multiLevelType w:val="hybridMultilevel"/>
    <w:tmpl w:val="70862390"/>
    <w:lvl w:ilvl="0" w:tplc="0C0C000F">
      <w:start w:val="1"/>
      <w:numFmt w:val="decimal"/>
      <w:lvlText w:val="%1."/>
      <w:lvlJc w:val="left"/>
      <w:pPr>
        <w:ind w:left="720" w:hanging="360"/>
      </w:pPr>
      <w:rPr>
        <w:rFont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193735789">
    <w:abstractNumId w:val="5"/>
  </w:num>
  <w:num w:numId="2" w16cid:durableId="1351685899">
    <w:abstractNumId w:val="6"/>
  </w:num>
  <w:num w:numId="3" w16cid:durableId="220795256">
    <w:abstractNumId w:val="4"/>
  </w:num>
  <w:num w:numId="4" w16cid:durableId="500042836">
    <w:abstractNumId w:val="1"/>
  </w:num>
  <w:num w:numId="5" w16cid:durableId="764040087">
    <w:abstractNumId w:val="3"/>
  </w:num>
  <w:num w:numId="6" w16cid:durableId="2008053954">
    <w:abstractNumId w:val="0"/>
  </w:num>
  <w:num w:numId="7" w16cid:durableId="17728903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BD3"/>
    <w:rsid w:val="00042584"/>
    <w:rsid w:val="0004529F"/>
    <w:rsid w:val="00046F03"/>
    <w:rsid w:val="00054521"/>
    <w:rsid w:val="000550EA"/>
    <w:rsid w:val="000652DE"/>
    <w:rsid w:val="000719C8"/>
    <w:rsid w:val="0009480B"/>
    <w:rsid w:val="000A4ACC"/>
    <w:rsid w:val="000C5970"/>
    <w:rsid w:val="000C6400"/>
    <w:rsid w:val="000C698C"/>
    <w:rsid w:val="000D45C4"/>
    <w:rsid w:val="000D6EBF"/>
    <w:rsid w:val="000E0CB8"/>
    <w:rsid w:val="00101A48"/>
    <w:rsid w:val="00105C0D"/>
    <w:rsid w:val="00130B98"/>
    <w:rsid w:val="00136632"/>
    <w:rsid w:val="001563E2"/>
    <w:rsid w:val="00181EF2"/>
    <w:rsid w:val="00190E88"/>
    <w:rsid w:val="001A23DC"/>
    <w:rsid w:val="001C7EF3"/>
    <w:rsid w:val="001D7BDF"/>
    <w:rsid w:val="001E50F5"/>
    <w:rsid w:val="001E7CDB"/>
    <w:rsid w:val="001F2ACF"/>
    <w:rsid w:val="002061B0"/>
    <w:rsid w:val="00216EDF"/>
    <w:rsid w:val="002205AF"/>
    <w:rsid w:val="002207A8"/>
    <w:rsid w:val="00227892"/>
    <w:rsid w:val="002303B3"/>
    <w:rsid w:val="0024034C"/>
    <w:rsid w:val="00262843"/>
    <w:rsid w:val="00295BA5"/>
    <w:rsid w:val="00295FDB"/>
    <w:rsid w:val="002A7E22"/>
    <w:rsid w:val="002E0AB4"/>
    <w:rsid w:val="002E5D66"/>
    <w:rsid w:val="002F288E"/>
    <w:rsid w:val="00313333"/>
    <w:rsid w:val="0031523C"/>
    <w:rsid w:val="00321BFA"/>
    <w:rsid w:val="0034501F"/>
    <w:rsid w:val="003725E6"/>
    <w:rsid w:val="00380DE2"/>
    <w:rsid w:val="003934CA"/>
    <w:rsid w:val="003A73DA"/>
    <w:rsid w:val="003B309F"/>
    <w:rsid w:val="003B49A3"/>
    <w:rsid w:val="003D1283"/>
    <w:rsid w:val="003E1FC3"/>
    <w:rsid w:val="003E3D7A"/>
    <w:rsid w:val="00405BD3"/>
    <w:rsid w:val="00407BC3"/>
    <w:rsid w:val="00416202"/>
    <w:rsid w:val="00446538"/>
    <w:rsid w:val="00487AF7"/>
    <w:rsid w:val="004978D2"/>
    <w:rsid w:val="004C0224"/>
    <w:rsid w:val="004D2857"/>
    <w:rsid w:val="004E0C8C"/>
    <w:rsid w:val="00515267"/>
    <w:rsid w:val="005209B3"/>
    <w:rsid w:val="00531867"/>
    <w:rsid w:val="00567251"/>
    <w:rsid w:val="00567FE1"/>
    <w:rsid w:val="005915D3"/>
    <w:rsid w:val="00592191"/>
    <w:rsid w:val="005B2C8C"/>
    <w:rsid w:val="005B5001"/>
    <w:rsid w:val="005D20B0"/>
    <w:rsid w:val="005D37EC"/>
    <w:rsid w:val="005D655B"/>
    <w:rsid w:val="005D7A4D"/>
    <w:rsid w:val="005E453C"/>
    <w:rsid w:val="005E761A"/>
    <w:rsid w:val="006145F0"/>
    <w:rsid w:val="00621917"/>
    <w:rsid w:val="006228E1"/>
    <w:rsid w:val="0063283A"/>
    <w:rsid w:val="00651654"/>
    <w:rsid w:val="00661856"/>
    <w:rsid w:val="006772BA"/>
    <w:rsid w:val="006943D9"/>
    <w:rsid w:val="006C3D36"/>
    <w:rsid w:val="006F3DBF"/>
    <w:rsid w:val="007016AE"/>
    <w:rsid w:val="00706DB3"/>
    <w:rsid w:val="007237D1"/>
    <w:rsid w:val="00751300"/>
    <w:rsid w:val="00793DFF"/>
    <w:rsid w:val="00796EDF"/>
    <w:rsid w:val="007A2083"/>
    <w:rsid w:val="00805720"/>
    <w:rsid w:val="00806FBE"/>
    <w:rsid w:val="008118F5"/>
    <w:rsid w:val="00811F97"/>
    <w:rsid w:val="00833820"/>
    <w:rsid w:val="008449A7"/>
    <w:rsid w:val="008528EF"/>
    <w:rsid w:val="008750BB"/>
    <w:rsid w:val="00893DD0"/>
    <w:rsid w:val="008C75A3"/>
    <w:rsid w:val="008D3D93"/>
    <w:rsid w:val="008D46A6"/>
    <w:rsid w:val="008F03E5"/>
    <w:rsid w:val="009122FF"/>
    <w:rsid w:val="009644CE"/>
    <w:rsid w:val="0097768E"/>
    <w:rsid w:val="00985515"/>
    <w:rsid w:val="009C2240"/>
    <w:rsid w:val="009E08DA"/>
    <w:rsid w:val="009F18BA"/>
    <w:rsid w:val="00A270D1"/>
    <w:rsid w:val="00A376D5"/>
    <w:rsid w:val="00A477EE"/>
    <w:rsid w:val="00A63A84"/>
    <w:rsid w:val="00A73063"/>
    <w:rsid w:val="00A74199"/>
    <w:rsid w:val="00A8107D"/>
    <w:rsid w:val="00A84373"/>
    <w:rsid w:val="00B041F5"/>
    <w:rsid w:val="00B46ACB"/>
    <w:rsid w:val="00B55A18"/>
    <w:rsid w:val="00B63741"/>
    <w:rsid w:val="00B7454A"/>
    <w:rsid w:val="00B75E5D"/>
    <w:rsid w:val="00B9039E"/>
    <w:rsid w:val="00BA05D0"/>
    <w:rsid w:val="00BC0640"/>
    <w:rsid w:val="00BC5046"/>
    <w:rsid w:val="00BF7F0B"/>
    <w:rsid w:val="00C14358"/>
    <w:rsid w:val="00C1736B"/>
    <w:rsid w:val="00C20332"/>
    <w:rsid w:val="00C26A7B"/>
    <w:rsid w:val="00C473CA"/>
    <w:rsid w:val="00C50696"/>
    <w:rsid w:val="00C70737"/>
    <w:rsid w:val="00C73DFC"/>
    <w:rsid w:val="00CB7C4B"/>
    <w:rsid w:val="00CD544B"/>
    <w:rsid w:val="00CE2491"/>
    <w:rsid w:val="00D22274"/>
    <w:rsid w:val="00D264A5"/>
    <w:rsid w:val="00D4394A"/>
    <w:rsid w:val="00D87EE6"/>
    <w:rsid w:val="00DA372E"/>
    <w:rsid w:val="00DA771C"/>
    <w:rsid w:val="00DD38BF"/>
    <w:rsid w:val="00E22ED1"/>
    <w:rsid w:val="00E37D82"/>
    <w:rsid w:val="00E47A5C"/>
    <w:rsid w:val="00E53490"/>
    <w:rsid w:val="00E5795A"/>
    <w:rsid w:val="00E60E6D"/>
    <w:rsid w:val="00E61606"/>
    <w:rsid w:val="00E64BDD"/>
    <w:rsid w:val="00E837B4"/>
    <w:rsid w:val="00E91ED1"/>
    <w:rsid w:val="00E95809"/>
    <w:rsid w:val="00EB73A5"/>
    <w:rsid w:val="00EE4D4A"/>
    <w:rsid w:val="00EF3CD9"/>
    <w:rsid w:val="00F07833"/>
    <w:rsid w:val="00F31671"/>
    <w:rsid w:val="00F604CE"/>
    <w:rsid w:val="00F66DD2"/>
    <w:rsid w:val="00FA4415"/>
    <w:rsid w:val="00FD3ECC"/>
    <w:rsid w:val="00FD4240"/>
    <w:rsid w:val="00FE4D32"/>
    <w:rsid w:val="37A4C1B4"/>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AF3B77"/>
  <w15:docId w15:val="{EE75F074-DFCA-4174-A492-17DD8005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BD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05BD3"/>
    <w:pPr>
      <w:ind w:left="720"/>
      <w:contextualSpacing/>
    </w:pPr>
  </w:style>
  <w:style w:type="paragraph" w:styleId="En-tte">
    <w:name w:val="header"/>
    <w:basedOn w:val="Normal"/>
    <w:link w:val="En-tteCar"/>
    <w:uiPriority w:val="99"/>
    <w:unhideWhenUsed/>
    <w:rsid w:val="00405BD3"/>
    <w:pPr>
      <w:tabs>
        <w:tab w:val="center" w:pos="4320"/>
        <w:tab w:val="right" w:pos="8640"/>
      </w:tabs>
      <w:spacing w:after="0" w:line="240" w:lineRule="auto"/>
    </w:pPr>
  </w:style>
  <w:style w:type="character" w:customStyle="1" w:styleId="En-tteCar">
    <w:name w:val="En-tête Car"/>
    <w:basedOn w:val="Policepardfaut"/>
    <w:link w:val="En-tte"/>
    <w:uiPriority w:val="99"/>
    <w:rsid w:val="00405BD3"/>
  </w:style>
  <w:style w:type="paragraph" w:styleId="Pieddepage">
    <w:name w:val="footer"/>
    <w:basedOn w:val="Normal"/>
    <w:link w:val="PieddepageCar"/>
    <w:uiPriority w:val="99"/>
    <w:unhideWhenUsed/>
    <w:rsid w:val="00405BD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05BD3"/>
  </w:style>
  <w:style w:type="character" w:styleId="Lienhypertexte">
    <w:name w:val="Hyperlink"/>
    <w:basedOn w:val="Policepardfaut"/>
    <w:uiPriority w:val="99"/>
    <w:unhideWhenUsed/>
    <w:rsid w:val="00405BD3"/>
    <w:rPr>
      <w:color w:val="0000FF" w:themeColor="hyperlink"/>
      <w:u w:val="single"/>
    </w:rPr>
  </w:style>
  <w:style w:type="table" w:styleId="Grilledutableau">
    <w:name w:val="Table Grid"/>
    <w:basedOn w:val="TableauNormal"/>
    <w:uiPriority w:val="59"/>
    <w:rsid w:val="00405B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05BD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05BD3"/>
    <w:rPr>
      <w:rFonts w:ascii="Tahoma" w:hAnsi="Tahoma" w:cs="Tahoma"/>
      <w:sz w:val="16"/>
      <w:szCs w:val="16"/>
    </w:rPr>
  </w:style>
  <w:style w:type="character" w:styleId="Marquedecommentaire">
    <w:name w:val="annotation reference"/>
    <w:basedOn w:val="Policepardfaut"/>
    <w:uiPriority w:val="99"/>
    <w:semiHidden/>
    <w:unhideWhenUsed/>
    <w:rsid w:val="003E1FC3"/>
    <w:rPr>
      <w:sz w:val="16"/>
      <w:szCs w:val="16"/>
    </w:rPr>
  </w:style>
  <w:style w:type="paragraph" w:styleId="Commentaire">
    <w:name w:val="annotation text"/>
    <w:basedOn w:val="Normal"/>
    <w:link w:val="CommentaireCar"/>
    <w:uiPriority w:val="99"/>
    <w:unhideWhenUsed/>
    <w:rsid w:val="003E1FC3"/>
    <w:pPr>
      <w:spacing w:line="240" w:lineRule="auto"/>
    </w:pPr>
    <w:rPr>
      <w:sz w:val="20"/>
      <w:szCs w:val="20"/>
    </w:rPr>
  </w:style>
  <w:style w:type="character" w:customStyle="1" w:styleId="CommentaireCar">
    <w:name w:val="Commentaire Car"/>
    <w:basedOn w:val="Policepardfaut"/>
    <w:link w:val="Commentaire"/>
    <w:uiPriority w:val="99"/>
    <w:rsid w:val="003E1FC3"/>
    <w:rPr>
      <w:sz w:val="20"/>
      <w:szCs w:val="20"/>
    </w:rPr>
  </w:style>
  <w:style w:type="paragraph" w:styleId="Objetducommentaire">
    <w:name w:val="annotation subject"/>
    <w:basedOn w:val="Commentaire"/>
    <w:next w:val="Commentaire"/>
    <w:link w:val="ObjetducommentaireCar"/>
    <w:uiPriority w:val="99"/>
    <w:semiHidden/>
    <w:unhideWhenUsed/>
    <w:rsid w:val="003E1FC3"/>
    <w:rPr>
      <w:b/>
      <w:bCs/>
    </w:rPr>
  </w:style>
  <w:style w:type="character" w:customStyle="1" w:styleId="ObjetducommentaireCar">
    <w:name w:val="Objet du commentaire Car"/>
    <w:basedOn w:val="CommentaireCar"/>
    <w:link w:val="Objetducommentaire"/>
    <w:uiPriority w:val="99"/>
    <w:semiHidden/>
    <w:rsid w:val="003E1FC3"/>
    <w:rPr>
      <w:b/>
      <w:bCs/>
      <w:sz w:val="20"/>
      <w:szCs w:val="20"/>
    </w:rPr>
  </w:style>
  <w:style w:type="character" w:customStyle="1" w:styleId="k">
    <w:name w:val="k"/>
    <w:basedOn w:val="Policepardfaut"/>
    <w:rsid w:val="000D6EBF"/>
  </w:style>
  <w:style w:type="character" w:customStyle="1" w:styleId="v">
    <w:name w:val="v"/>
    <w:basedOn w:val="Policepardfaut"/>
    <w:rsid w:val="000D6EBF"/>
  </w:style>
  <w:style w:type="character" w:styleId="lev">
    <w:name w:val="Strong"/>
    <w:basedOn w:val="Policepardfaut"/>
    <w:uiPriority w:val="22"/>
    <w:qFormat/>
    <w:rsid w:val="000D6EBF"/>
    <w:rPr>
      <w:b/>
      <w:bCs/>
    </w:rPr>
  </w:style>
  <w:style w:type="paragraph" w:styleId="Rvision">
    <w:name w:val="Revision"/>
    <w:hidden/>
    <w:uiPriority w:val="99"/>
    <w:semiHidden/>
    <w:rsid w:val="004C0224"/>
    <w:pPr>
      <w:spacing w:after="0" w:line="240" w:lineRule="auto"/>
    </w:pPr>
  </w:style>
  <w:style w:type="character" w:styleId="Mentionnonrsolue">
    <w:name w:val="Unresolved Mention"/>
    <w:basedOn w:val="Policepardfaut"/>
    <w:uiPriority w:val="99"/>
    <w:semiHidden/>
    <w:unhideWhenUsed/>
    <w:rsid w:val="00C14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728905">
      <w:bodyDiv w:val="1"/>
      <w:marLeft w:val="0"/>
      <w:marRight w:val="0"/>
      <w:marTop w:val="0"/>
      <w:marBottom w:val="0"/>
      <w:divBdr>
        <w:top w:val="none" w:sz="0" w:space="0" w:color="auto"/>
        <w:left w:val="none" w:sz="0" w:space="0" w:color="auto"/>
        <w:bottom w:val="none" w:sz="0" w:space="0" w:color="auto"/>
        <w:right w:val="none" w:sz="0" w:space="0" w:color="auto"/>
      </w:divBdr>
      <w:divsChild>
        <w:div w:id="353265576">
          <w:marLeft w:val="0"/>
          <w:marRight w:val="0"/>
          <w:marTop w:val="0"/>
          <w:marBottom w:val="0"/>
          <w:divBdr>
            <w:top w:val="none" w:sz="0" w:space="0" w:color="auto"/>
            <w:left w:val="none" w:sz="0" w:space="0" w:color="auto"/>
            <w:bottom w:val="none" w:sz="0" w:space="0" w:color="auto"/>
            <w:right w:val="none" w:sz="0" w:space="0" w:color="auto"/>
          </w:divBdr>
        </w:div>
      </w:divsChild>
    </w:div>
    <w:div w:id="149503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observatoire@santementalejustice.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3A34E5607114E99649DDBD9988FAC" ma:contentTypeVersion="13" ma:contentTypeDescription="Crée un document." ma:contentTypeScope="" ma:versionID="32a82a53f9f18c42dbf851ba14dd3ca4">
  <xsd:schema xmlns:xsd="http://www.w3.org/2001/XMLSchema" xmlns:xs="http://www.w3.org/2001/XMLSchema" xmlns:p="http://schemas.microsoft.com/office/2006/metadata/properties" xmlns:ns2="8f4ef515-858f-4f88-afac-5489bb4f1467" xmlns:ns3="9420ffb6-39a4-4ebf-92bc-16f5162ec5f4" targetNamespace="http://schemas.microsoft.com/office/2006/metadata/properties" ma:root="true" ma:fieldsID="4b3bf8f0dbb370bfb1ffe559a19406b4" ns2:_="" ns3:_="">
    <xsd:import namespace="8f4ef515-858f-4f88-afac-5489bb4f1467"/>
    <xsd:import namespace="9420ffb6-39a4-4ebf-92bc-16f5162ec5f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4ef515-858f-4f88-afac-5489bb4f14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alises d’images" ma:readOnly="false" ma:fieldId="{5cf76f15-5ced-4ddc-b409-7134ff3c332f}" ma:taxonomyMulti="true" ma:sspId="20125e5a-fbbd-4a39-926c-a359310fd25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20ffb6-39a4-4ebf-92bc-16f5162ec5f4"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6b9d480-a0ae-41bf-b8dd-a5f96f5c8723}" ma:internalName="TaxCatchAll" ma:showField="CatchAllData" ma:web="9420ffb6-39a4-4ebf-92bc-16f5162ec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4ef515-858f-4f88-afac-5489bb4f1467">
      <Terms xmlns="http://schemas.microsoft.com/office/infopath/2007/PartnerControls"/>
    </lcf76f155ced4ddcb4097134ff3c332f>
    <TaxCatchAll xmlns="9420ffb6-39a4-4ebf-92bc-16f5162ec5f4" xsi:nil="true"/>
  </documentManagement>
</p:properties>
</file>

<file path=customXml/itemProps1.xml><?xml version="1.0" encoding="utf-8"?>
<ds:datastoreItem xmlns:ds="http://schemas.openxmlformats.org/officeDocument/2006/customXml" ds:itemID="{600C4B1B-0741-482B-9E20-E6160D090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4ef515-858f-4f88-afac-5489bb4f1467"/>
    <ds:schemaRef ds:uri="9420ffb6-39a4-4ebf-92bc-16f5162ec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C070B7-7AEA-4BF9-AAB1-DEDFFB82D44A}">
  <ds:schemaRefs>
    <ds:schemaRef ds:uri="http://schemas.microsoft.com/sharepoint/v3/contenttype/forms"/>
  </ds:schemaRefs>
</ds:datastoreItem>
</file>

<file path=customXml/itemProps3.xml><?xml version="1.0" encoding="utf-8"?>
<ds:datastoreItem xmlns:ds="http://schemas.openxmlformats.org/officeDocument/2006/customXml" ds:itemID="{93555798-5089-43F1-BFB9-4B8F22635AC8}">
  <ds:schemaRefs>
    <ds:schemaRef ds:uri="http://schemas.microsoft.com/office/2006/metadata/properties"/>
    <ds:schemaRef ds:uri="http://schemas.microsoft.com/office/infopath/2007/PartnerControls"/>
    <ds:schemaRef ds:uri="8f4ef515-858f-4f88-afac-5489bb4f1467"/>
    <ds:schemaRef ds:uri="9420ffb6-39a4-4ebf-92bc-16f5162ec5f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1258</Words>
  <Characters>6924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Institut Douglas</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Philippe Gagnon</dc:creator>
  <cp:lastModifiedBy>Sophie Charbonneau</cp:lastModifiedBy>
  <cp:revision>3</cp:revision>
  <cp:lastPrinted>2021-02-10T20:27:00Z</cp:lastPrinted>
  <dcterms:created xsi:type="dcterms:W3CDTF">2025-08-19T14:45:00Z</dcterms:created>
  <dcterms:modified xsi:type="dcterms:W3CDTF">2025-08-19T14:45:00Z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0x010100A243A34E5607114E99649DDBD9988FAC</vt:lpwstr>
  </property>
  <property fmtid="{D5CDD505-2E9C-101B-9397-08002B2CF9AE}" pid="3" name="MSIP_Label_6a7d8d5d-78e2-4a62-9fcd-016eb5e4c57c_Enabled">
    <vt:lpwstr>true</vt:lpwstr>
  </property>
  <property fmtid="{D5CDD505-2E9C-101B-9397-08002B2CF9AE}" pid="4" name="MSIP_Label_6a7d8d5d-78e2-4a62-9fcd-016eb5e4c57c_SetDate">
    <vt:lpwstr>2024-08-27T14:22:15Z</vt:lpwstr>
  </property>
  <property fmtid="{D5CDD505-2E9C-101B-9397-08002B2CF9AE}" pid="5" name="MSIP_Label_6a7d8d5d-78e2-4a62-9fcd-016eb5e4c57c_Method">
    <vt:lpwstr>Standard</vt:lpwstr>
  </property>
  <property fmtid="{D5CDD505-2E9C-101B-9397-08002B2CF9AE}" pid="6" name="MSIP_Label_6a7d8d5d-78e2-4a62-9fcd-016eb5e4c57c_Name">
    <vt:lpwstr>Général</vt:lpwstr>
  </property>
  <property fmtid="{D5CDD505-2E9C-101B-9397-08002B2CF9AE}" pid="7" name="MSIP_Label_6a7d8d5d-78e2-4a62-9fcd-016eb5e4c57c_SiteId">
    <vt:lpwstr>06e1fe28-5f8b-4075-bf6c-ae24be1a7992</vt:lpwstr>
  </property>
  <property fmtid="{D5CDD505-2E9C-101B-9397-08002B2CF9AE}" pid="8" name="MSIP_Label_6a7d8d5d-78e2-4a62-9fcd-016eb5e4c57c_ActionId">
    <vt:lpwstr>5798b90f-bb7b-4863-9cec-125428b5bab8</vt:lpwstr>
  </property>
  <property fmtid="{D5CDD505-2E9C-101B-9397-08002B2CF9AE}" pid="9" name="MSIP_Label_6a7d8d5d-78e2-4a62-9fcd-016eb5e4c57c_ContentBits">
    <vt:lpwstr>0</vt:lpwstr>
  </property>
  <property fmtid="{D5CDD505-2E9C-101B-9397-08002B2CF9AE}" pid="10" name="MediaServiceImageTags">
    <vt:lpwstr/>
  </property>
</Properties>
</file>